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ascii="宋体" w:hAnsi="宋体" w:cs="宋体"/>
          <w:b/>
          <w:color w:val="auto"/>
          <w:sz w:val="72"/>
          <w:szCs w:val="72"/>
          <w:highlight w:val="none"/>
          <w:lang w:eastAsia="zh-CN"/>
        </w:rPr>
      </w:pPr>
      <w:r>
        <w:rPr>
          <w:rFonts w:ascii="宋体" w:hAnsi="宋体" w:cs="宋体"/>
          <w:b/>
          <w:color w:val="auto"/>
          <w:sz w:val="72"/>
          <w:szCs w:val="72"/>
          <w:highlight w:val="none"/>
          <w:lang w:eastAsia="zh-CN"/>
        </w:rPr>
      </w:r>
      <w:r/>
    </w:p>
    <w:p>
      <w:pPr>
        <w:ind w:firstLine="0"/>
        <w:jc w:val="center"/>
        <w:spacing w:line="240" w:lineRule="auto"/>
        <w:widowControl w:val="off"/>
        <w:rPr>
          <w:rFonts w:ascii="宋体" w:hAnsi="宋体" w:cs="宋体"/>
          <w:b/>
          <w:color w:val="auto"/>
          <w:sz w:val="72"/>
          <w:szCs w:val="72"/>
          <w:highlight w:val="none"/>
          <w:lang w:eastAsia="zh-CN"/>
        </w:rPr>
      </w:pPr>
      <w:r>
        <w:rPr>
          <w:rFonts w:ascii="宋体" w:hAnsi="宋体" w:cs="宋体"/>
          <w:b/>
          <w:color w:val="auto"/>
          <w:sz w:val="72"/>
          <w:szCs w:val="72"/>
          <w:highlight w:val="none"/>
          <w:lang w:eastAsia="zh-CN"/>
        </w:rPr>
      </w:r>
      <w:r/>
    </w:p>
    <w:p>
      <w:pPr>
        <w:ind w:firstLine="0"/>
        <w:jc w:val="center"/>
        <w:spacing w:line="240" w:lineRule="auto"/>
        <w:widowControl w:val="off"/>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ascii="宋体" w:hAnsi="宋体"/>
          <w:color w:val="auto"/>
          <w:sz w:val="21"/>
          <w:szCs w:val="20"/>
          <w:highlight w:val="none"/>
          <w:lang w:eastAsia="zh-CN"/>
        </w:rPr>
      </w:pPr>
      <w:r>
        <w:rPr>
          <w:rFonts w:ascii="宋体" w:hAnsi="宋体"/>
          <w:color w:val="auto"/>
          <w:sz w:val="21"/>
          <w:szCs w:val="20"/>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pStyle w:val="912"/>
        <w:rPr>
          <w:color w:val="auto"/>
          <w:highlight w:val="none"/>
          <w:lang w:eastAsia="zh-CN"/>
        </w:rPr>
      </w:pPr>
      <w:r>
        <w:rPr>
          <w:color w:val="auto"/>
          <w:highlight w:val="none"/>
          <w:lang w:eastAsia="zh-CN"/>
        </w:rPr>
      </w:r>
      <w:r/>
    </w:p>
    <w:p>
      <w:pPr>
        <w:ind w:firstLine="0"/>
        <w:jc w:val="center"/>
        <w:spacing w:line="240" w:lineRule="auto"/>
        <w:widowControl w:val="off"/>
        <w:rPr>
          <w:rFonts w:ascii="宋体" w:hAnsi="宋体" w:cs="宋体"/>
          <w:b/>
          <w:color w:val="auto"/>
          <w:sz w:val="72"/>
          <w:szCs w:val="72"/>
          <w:highlight w:val="none"/>
          <w:lang w:eastAsia="zh-CN"/>
        </w:rPr>
      </w:pPr>
      <w:r>
        <w:rPr>
          <w:rFonts w:ascii="宋体" w:hAnsi="宋体" w:cs="宋体"/>
          <w:b/>
          <w:color w:val="auto"/>
          <w:sz w:val="72"/>
          <w:szCs w:val="72"/>
          <w:highlight w:val="none"/>
          <w:lang w:eastAsia="zh-CN"/>
        </w:rPr>
      </w:r>
      <w:r/>
    </w:p>
    <w:p>
      <w:pPr>
        <w:ind w:firstLine="0"/>
        <w:jc w:val="center"/>
        <w:spacing w:line="240" w:lineRule="auto"/>
        <w:widowControl w:val="off"/>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t xml:space="preserve"> </w:t>
      </w:r>
      <w:r/>
    </w:p>
    <w:p>
      <w:pPr>
        <w:ind w:firstLine="0"/>
        <w:jc w:val="both"/>
        <w:spacing w:line="240" w:lineRule="auto"/>
        <w:widowControl w:val="off"/>
        <w:tabs>
          <w:tab w:val="left" w:pos="7544" w:leader="none"/>
        </w:tabs>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w:t>
      </w:r>
      <w:r>
        <w:rPr>
          <w:rFonts w:ascii="宋体" w:hAnsi="宋体" w:cs="宋体"/>
          <w:b/>
          <w:color w:val="auto"/>
          <w:sz w:val="32"/>
          <w:szCs w:val="32"/>
          <w:highlight w:val="none"/>
          <w:lang w:eastAsia="zh-CN"/>
        </w:rPr>
        <w:t xml:space="preserve"> 购 项 目 编 号：</w:t>
      </w:r>
      <w:r>
        <w:rPr>
          <w:rFonts w:hint="eastAsia" w:ascii="宋体" w:hAnsi="宋体" w:cs="宋体"/>
          <w:b/>
          <w:color w:val="auto"/>
          <w:sz w:val="32"/>
          <w:szCs w:val="32"/>
          <w:highlight w:val="none"/>
          <w:lang w:eastAsia="zh-CN"/>
        </w:rPr>
        <w:t xml:space="preserve">JSZC-320200-JSZH-G2026-0071</w:t>
      </w:r>
      <w:r>
        <w:rPr>
          <w:rFonts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ab/>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3017" w:right="-139" w:hanging="3017"/>
        <w:jc w:val="both"/>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w:t>
      </w:r>
      <w:r>
        <w:rPr>
          <w:rFonts w:hint="eastAsia" w:ascii="宋体" w:hAnsi="宋体" w:cs="宋体"/>
          <w:b/>
          <w:color w:val="auto"/>
          <w:sz w:val="32"/>
          <w:szCs w:val="32"/>
          <w:highlight w:val="none"/>
          <w:lang w:eastAsia="zh-CN"/>
        </w:rPr>
        <w:t xml:space="preserve">无锡学院先进制造实验室建设项目</w:t>
      </w:r>
      <w:r/>
    </w:p>
    <w:p>
      <w:pPr>
        <w:pStyle w:val="912"/>
        <w:rPr>
          <w:color w:val="auto"/>
          <w:highlight w:val="none"/>
          <w:lang w:eastAsia="zh-CN"/>
        </w:rPr>
      </w:pPr>
      <w:r>
        <w:rPr>
          <w:color w:val="auto"/>
          <w:highlight w:val="none"/>
          <w:lang w:eastAsia="zh-CN"/>
        </w:rPr>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人：无锡学院</w:t>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代 理 机 构：江苏智汇锡建工程项目管理有限公司</w:t>
      </w:r>
      <w:r/>
    </w:p>
    <w:p>
      <w:pPr>
        <w:ind w:right="-29"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center"/>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九</w:t>
      </w:r>
      <w:r>
        <w:rPr>
          <w:rFonts w:hint="eastAsia" w:ascii="宋体" w:hAnsi="宋体" w:cs="宋体"/>
          <w:b/>
          <w:color w:val="auto"/>
          <w:sz w:val="32"/>
          <w:szCs w:val="32"/>
          <w:highlight w:val="none"/>
          <w:lang w:eastAsia="zh-CN"/>
        </w:rPr>
        <w:t xml:space="preserve">月</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pStyle w:val="941"/>
        <w:jc w:val="center"/>
        <w:rPr>
          <w:rFonts w:ascii="Arial" w:hAnsi="Arial" w:eastAsia="宋体" w:cs="Arial"/>
          <w:color w:val="auto"/>
          <w:sz w:val="24"/>
          <w:szCs w:val="21"/>
          <w:highlight w:val="none"/>
          <w:lang w:val="zh-CN" w:eastAsia="en-US"/>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992" w:bottom="1440" w:left="992" w:header="851" w:footer="992" w:gutter="0"/>
          <w:cols w:num="1" w:sep="0" w:space="425" w:equalWidth="1"/>
          <w:docGrid w:linePitch="360"/>
        </w:sectPr>
      </w:pPr>
      <w:r>
        <w:rPr>
          <w:rFonts w:ascii="Arial" w:hAnsi="Arial" w:eastAsia="宋体" w:cs="Arial"/>
          <w:color w:val="auto"/>
          <w:sz w:val="24"/>
          <w:szCs w:val="21"/>
          <w:highlight w:val="none"/>
          <w:lang w:val="zh-CN" w:eastAsia="en-US"/>
        </w:rPr>
      </w:r>
      <w:r/>
    </w:p>
    <w:sdt>
      <w:sdtPr>
        <w15:appearance w15:val="boundingBox"/>
        <w:id w:val="-1"/>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941"/>
            <w:jc w:val="center"/>
            <w:rPr>
              <w:rFonts w:ascii="宋体" w:hAnsi="宋体"/>
              <w:b/>
              <w:bCs/>
              <w:color w:val="auto"/>
              <w:sz w:val="44"/>
              <w:szCs w:val="44"/>
              <w:highlight w:val="none"/>
            </w:rPr>
          </w:pPr>
          <w:r/>
          <w:bookmarkStart w:id="35" w:name="_GoBack"/>
          <w:r/>
          <w:bookmarkEnd w:id="35"/>
          <w:r>
            <w:rPr>
              <w:rFonts w:ascii="宋体" w:hAnsi="宋体"/>
              <w:b/>
              <w:bCs/>
              <w:color w:val="auto"/>
              <w:sz w:val="44"/>
              <w:szCs w:val="44"/>
              <w:highlight w:val="none"/>
              <w:lang w:val="zh-CN"/>
            </w:rPr>
            <w:t xml:space="preserve">目</w:t>
          </w:r>
          <w:r>
            <w:rPr>
              <w:rFonts w:hint="eastAsia" w:ascii="宋体" w:hAnsi="宋体"/>
              <w:b/>
              <w:bCs/>
              <w:color w:val="auto"/>
              <w:sz w:val="44"/>
              <w:szCs w:val="44"/>
              <w:highlight w:val="none"/>
              <w:lang w:val="zh-CN"/>
            </w:rPr>
            <w:t xml:space="preserve">  </w:t>
          </w:r>
          <w:r>
            <w:rPr>
              <w:rFonts w:ascii="宋体" w:hAnsi="宋体"/>
              <w:b/>
              <w:bCs/>
              <w:color w:val="auto"/>
              <w:sz w:val="44"/>
              <w:szCs w:val="44"/>
              <w:highlight w:val="none"/>
              <w:lang w:val="zh-CN"/>
            </w:rPr>
            <w:t xml:space="preserve">录</w:t>
          </w:r>
          <w:r/>
        </w:p>
        <w:p>
          <w:pPr>
            <w:pStyle w:val="921"/>
            <w:rPr>
              <w:rFonts w:asciiTheme="minorHAnsi" w:hAnsiTheme="minorHAnsi" w:eastAsiaTheme="minorEastAsia" w:cstheme="minorBidi"/>
              <w:color w:val="auto"/>
              <w:sz w:val="28"/>
              <w:szCs w:val="28"/>
              <w:highlight w:val="none"/>
              <w:lang w:eastAsia="zh-CN"/>
              <w14:ligatures w14:val="standardContextual"/>
            </w:rPr>
          </w:pPr>
          <w:r>
            <w:rPr>
              <w:rFonts w:ascii="宋体" w:hAnsi="宋体"/>
              <w:color w:val="auto"/>
              <w:sz w:val="40"/>
              <w:szCs w:val="32"/>
              <w:highlight w:val="none"/>
            </w:rPr>
            <w:fldChar w:fldCharType="begin"/>
          </w:r>
          <w:r>
            <w:rPr>
              <w:rFonts w:ascii="宋体" w:hAnsi="宋体"/>
              <w:color w:val="auto"/>
              <w:sz w:val="40"/>
              <w:szCs w:val="32"/>
              <w:highlight w:val="none"/>
            </w:rPr>
            <w:instrText xml:space="preserve"> TOC \o "1-3" \h \z \u </w:instrText>
          </w:r>
          <w:r>
            <w:rPr>
              <w:rFonts w:ascii="宋体" w:hAnsi="宋体"/>
              <w:color w:val="auto"/>
              <w:sz w:val="40"/>
              <w:szCs w:val="32"/>
              <w:highlight w:val="none"/>
            </w:rPr>
            <w:fldChar w:fldCharType="separate"/>
          </w:r>
          <w:r>
            <w:rPr>
              <w:color w:val="auto"/>
              <w:highlight w:val="none"/>
            </w:rPr>
            <w:fldChar w:fldCharType="begin"/>
          </w:r>
          <w:r>
            <w:rPr>
              <w:color w:val="auto"/>
              <w:highlight w:val="none"/>
            </w:rPr>
            <w:instrText xml:space="preserve"> HYPERLINK \l "_Toc161316664" </w:instrText>
          </w:r>
          <w:r>
            <w:rPr>
              <w:color w:val="auto"/>
              <w:highlight w:val="none"/>
            </w:rPr>
            <w:fldChar w:fldCharType="separate"/>
          </w:r>
          <w:r>
            <w:rPr>
              <w:rStyle w:val="927"/>
              <w:color w:val="auto"/>
              <w:sz w:val="28"/>
              <w:szCs w:val="28"/>
              <w:highlight w:val="none"/>
              <w:lang w:eastAsia="zh-CN"/>
            </w:rPr>
            <w:t xml:space="preserve">一、投标邀请函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_Toc161316664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color w:val="auto"/>
              <w:sz w:val="28"/>
              <w:szCs w:val="28"/>
              <w:highlight w:val="none"/>
            </w:rPr>
            <w:fldChar w:fldCharType="end"/>
          </w:r>
          <w:r/>
        </w:p>
        <w:p>
          <w:pPr>
            <w:pStyle w:val="921"/>
            <w:rPr>
              <w:rFonts w:asciiTheme="minorHAnsi" w:hAnsiTheme="minorHAnsi" w:eastAsiaTheme="minorEastAsia" w:cstheme="minorBidi"/>
              <w:color w:val="auto"/>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"_Toc161316665" </w:instrText>
          </w:r>
          <w:r>
            <w:rPr>
              <w:color w:val="auto"/>
              <w:highlight w:val="none"/>
            </w:rPr>
            <w:fldChar w:fldCharType="separate"/>
          </w:r>
          <w:r>
            <w:rPr>
              <w:rStyle w:val="927"/>
              <w:color w:val="auto"/>
              <w:sz w:val="28"/>
              <w:szCs w:val="28"/>
              <w:highlight w:val="none"/>
              <w:lang w:eastAsia="zh-CN"/>
            </w:rPr>
            <w:t xml:space="preserve">二、供应商须知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_Toc161316665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color w:val="auto"/>
              <w:sz w:val="28"/>
              <w:szCs w:val="28"/>
              <w:highlight w:val="none"/>
            </w:rPr>
            <w:fldChar w:fldCharType="end"/>
          </w:r>
          <w:r/>
        </w:p>
        <w:p>
          <w:pPr>
            <w:pStyle w:val="921"/>
            <w:rPr>
              <w:rFonts w:asciiTheme="minorHAnsi" w:hAnsiTheme="minorHAnsi" w:eastAsiaTheme="minorEastAsia" w:cstheme="minorBidi"/>
              <w:color w:val="auto"/>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"_Toc161316666" </w:instrText>
          </w:r>
          <w:r>
            <w:rPr>
              <w:color w:val="auto"/>
              <w:highlight w:val="none"/>
            </w:rPr>
            <w:fldChar w:fldCharType="separate"/>
          </w:r>
          <w:r>
            <w:rPr>
              <w:rStyle w:val="927"/>
              <w:color w:val="auto"/>
              <w:sz w:val="28"/>
              <w:szCs w:val="28"/>
              <w:highlight w:val="none"/>
              <w:lang w:eastAsia="zh-CN"/>
            </w:rPr>
            <w:t xml:space="preserve">三、采购需求和技术有关要求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_Toc161316666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921"/>
            <w:rPr>
              <w:rFonts w:asciiTheme="minorHAnsi" w:hAnsiTheme="minorHAnsi" w:cstheme="minorBidi"/>
              <w:color w:val="auto"/>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"_Toc161316667" </w:instrText>
          </w:r>
          <w:r>
            <w:rPr>
              <w:color w:val="auto"/>
              <w:highlight w:val="none"/>
            </w:rPr>
            <w:fldChar w:fldCharType="separate"/>
          </w:r>
          <w:r>
            <w:rPr>
              <w:rStyle w:val="927"/>
              <w:color w:val="auto"/>
              <w:sz w:val="28"/>
              <w:szCs w:val="28"/>
              <w:highlight w:val="none"/>
              <w:lang w:eastAsia="zh-CN"/>
            </w:rPr>
            <w:t xml:space="preserve">四、合同书（格式文本）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_Toc161316667 \h </w:instrText>
          </w:r>
          <w:r>
            <w:rPr>
              <w:color w:val="auto"/>
              <w:sz w:val="28"/>
              <w:szCs w:val="28"/>
              <w:highlight w:val="none"/>
            </w:rPr>
            <w:fldChar w:fldCharType="separate"/>
          </w:r>
          <w:r>
            <w:rPr>
              <w:color w:val="auto"/>
              <w:sz w:val="28"/>
              <w:szCs w:val="28"/>
              <w:highlight w:val="none"/>
            </w:rPr>
            <w:t xml:space="preserve">53</w:t>
          </w:r>
          <w:r>
            <w:rPr>
              <w:color w:val="auto"/>
              <w:sz w:val="28"/>
              <w:szCs w:val="28"/>
              <w:highlight w:val="none"/>
            </w:rPr>
            <w:fldChar w:fldCharType="end"/>
          </w:r>
          <w:r>
            <w:rPr>
              <w:color w:val="auto"/>
              <w:sz w:val="28"/>
              <w:szCs w:val="28"/>
              <w:highlight w:val="none"/>
            </w:rPr>
            <w:fldChar w:fldCharType="end"/>
          </w:r>
          <w:r/>
        </w:p>
        <w:p>
          <w:pPr>
            <w:pStyle w:val="921"/>
            <w:rPr>
              <w:rFonts w:asciiTheme="minorHAnsi" w:hAnsiTheme="minorHAnsi" w:cstheme="minorBidi"/>
              <w:color w:val="auto"/>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"_Toc161316668" </w:instrText>
          </w:r>
          <w:r>
            <w:rPr>
              <w:color w:val="auto"/>
              <w:highlight w:val="none"/>
            </w:rPr>
            <w:fldChar w:fldCharType="separate"/>
          </w:r>
          <w:r>
            <w:rPr>
              <w:rStyle w:val="927"/>
              <w:color w:val="auto"/>
              <w:sz w:val="28"/>
              <w:szCs w:val="28"/>
              <w:highlight w:val="none"/>
              <w:lang w:eastAsia="zh-CN"/>
            </w:rPr>
            <w:t xml:space="preserve">五、附件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_Toc161316668 \h </w:instrText>
          </w:r>
          <w:r>
            <w:rPr>
              <w:color w:val="auto"/>
              <w:sz w:val="28"/>
              <w:szCs w:val="28"/>
              <w:highlight w:val="none"/>
            </w:rPr>
            <w:fldChar w:fldCharType="separate"/>
          </w:r>
          <w:r>
            <w:rPr>
              <w:color w:val="auto"/>
              <w:sz w:val="28"/>
              <w:szCs w:val="28"/>
              <w:highlight w:val="none"/>
            </w:rPr>
            <w:t xml:space="preserve">70</w:t>
          </w:r>
          <w:r>
            <w:rPr>
              <w:color w:val="auto"/>
              <w:sz w:val="28"/>
              <w:szCs w:val="28"/>
              <w:highlight w:val="none"/>
            </w:rPr>
            <w:fldChar w:fldCharType="end"/>
          </w:r>
          <w:r>
            <w:rPr>
              <w:color w:val="auto"/>
              <w:sz w:val="28"/>
              <w:szCs w:val="28"/>
              <w:highlight w:val="none"/>
            </w:rPr>
            <w:fldChar w:fldCharType="end"/>
          </w:r>
          <w:r/>
        </w:p>
        <w:p>
          <w:pPr>
            <w:pStyle w:val="922"/>
            <w:ind w:left="480" w:firstLine="480"/>
            <w:tabs>
              <w:tab w:val="right" w:pos="8296" w:leader="dot"/>
            </w:tabs>
            <w:rPr>
              <w:rFonts w:asciiTheme="minorHAnsi" w:hAnsiTheme="minorHAnsi" w:cstheme="minorBidi"/>
              <w:color w:val="auto"/>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"_Toc161316669" </w:instrText>
          </w:r>
          <w:r>
            <w:rPr>
              <w:color w:val="auto"/>
              <w:highlight w:val="none"/>
            </w:rPr>
            <w:fldChar w:fldCharType="separate"/>
          </w:r>
          <w:r>
            <w:rPr>
              <w:rStyle w:val="927"/>
              <w:color w:val="auto"/>
              <w:sz w:val="28"/>
              <w:szCs w:val="28"/>
              <w:highlight w:val="none"/>
              <w:lang w:eastAsia="zh-CN"/>
            </w:rPr>
            <w:t xml:space="preserve">附件一：评分标准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_Toc161316669 \h </w:instrText>
          </w:r>
          <w:r>
            <w:rPr>
              <w:color w:val="auto"/>
              <w:sz w:val="28"/>
              <w:szCs w:val="28"/>
              <w:highlight w:val="none"/>
            </w:rPr>
            <w:fldChar w:fldCharType="separate"/>
          </w:r>
          <w:r>
            <w:rPr>
              <w:color w:val="auto"/>
              <w:sz w:val="28"/>
              <w:szCs w:val="28"/>
              <w:highlight w:val="none"/>
            </w:rPr>
            <w:t xml:space="preserve">70</w:t>
          </w:r>
          <w:r>
            <w:rPr>
              <w:color w:val="auto"/>
              <w:sz w:val="28"/>
              <w:szCs w:val="28"/>
              <w:highlight w:val="none"/>
            </w:rPr>
            <w:fldChar w:fldCharType="end"/>
          </w:r>
          <w:r>
            <w:rPr>
              <w:color w:val="auto"/>
              <w:sz w:val="28"/>
              <w:szCs w:val="28"/>
              <w:highlight w:val="none"/>
            </w:rPr>
            <w:fldChar w:fldCharType="end"/>
          </w:r>
          <w:r/>
        </w:p>
        <w:p>
          <w:pPr>
            <w:pStyle w:val="922"/>
            <w:ind w:left="480" w:firstLine="480"/>
            <w:tabs>
              <w:tab w:val="right" w:pos="8296" w:leader="dot"/>
            </w:tabs>
            <w:rPr>
              <w:rFonts w:asciiTheme="minorHAnsi" w:hAnsiTheme="minorHAnsi" w:cstheme="minorBidi"/>
              <w:color w:val="auto"/>
              <w:sz w:val="18"/>
              <w:szCs w:val="20"/>
              <w:highlight w:val="none"/>
              <w:lang w:eastAsia="zh-CN"/>
              <w14:ligatures w14:val="standardContextual"/>
            </w:rPr>
          </w:pPr>
          <w:r>
            <w:rPr>
              <w:color w:val="auto"/>
              <w:highlight w:val="none"/>
            </w:rPr>
            <w:fldChar w:fldCharType="begin"/>
          </w:r>
          <w:r>
            <w:rPr>
              <w:color w:val="auto"/>
              <w:highlight w:val="none"/>
            </w:rPr>
            <w:instrText xml:space="preserve"> HYPERLINK \l "_Toc161316670" </w:instrText>
          </w:r>
          <w:r>
            <w:rPr>
              <w:color w:val="auto"/>
              <w:highlight w:val="none"/>
            </w:rPr>
            <w:fldChar w:fldCharType="separate"/>
          </w:r>
          <w:r>
            <w:rPr>
              <w:rStyle w:val="927"/>
              <w:color w:val="auto"/>
              <w:sz w:val="28"/>
              <w:szCs w:val="28"/>
              <w:highlight w:val="none"/>
              <w:lang w:eastAsia="zh-CN"/>
            </w:rPr>
            <w:t xml:space="preserve">附件二：投标文件格式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_Toc161316670 \h </w:instrText>
          </w:r>
          <w:r>
            <w:rPr>
              <w:color w:val="auto"/>
              <w:sz w:val="28"/>
              <w:szCs w:val="28"/>
              <w:highlight w:val="none"/>
            </w:rPr>
            <w:fldChar w:fldCharType="separate"/>
          </w:r>
          <w:r>
            <w:rPr>
              <w:color w:val="auto"/>
              <w:sz w:val="28"/>
              <w:szCs w:val="28"/>
              <w:highlight w:val="none"/>
            </w:rPr>
            <w:t xml:space="preserve">75</w:t>
          </w:r>
          <w:r>
            <w:rPr>
              <w:color w:val="auto"/>
              <w:sz w:val="28"/>
              <w:szCs w:val="28"/>
              <w:highlight w:val="none"/>
            </w:rPr>
            <w:fldChar w:fldCharType="end"/>
          </w:r>
          <w:r>
            <w:rPr>
              <w:color w:val="auto"/>
              <w:sz w:val="28"/>
              <w:szCs w:val="28"/>
              <w:highlight w:val="none"/>
            </w:rPr>
            <w:fldChar w:fldCharType="end"/>
          </w:r>
          <w:r/>
        </w:p>
        <w:p>
          <w:pPr>
            <w:ind w:firstLine="0"/>
            <w:rPr>
              <w:color w:val="auto"/>
              <w:highlight w:val="none"/>
            </w:rPr>
          </w:pPr>
          <w:r>
            <w:rPr>
              <w:rFonts w:ascii="宋体" w:hAnsi="宋体"/>
              <w:b/>
              <w:bCs/>
              <w:color w:val="auto"/>
              <w:sz w:val="40"/>
              <w:szCs w:val="32"/>
              <w:highlight w:val="none"/>
              <w:lang w:val="zh-CN"/>
            </w:rPr>
            <w:fldChar w:fldCharType="end"/>
          </w:r>
          <w:r/>
        </w:p>
      </w:sdtContent>
    </w:sdt>
    <w:p>
      <w:pPr>
        <w:ind w:firstLine="480"/>
        <w:rPr>
          <w:color w:val="auto"/>
          <w:highlight w:val="none"/>
          <w:lang w:eastAsia="zh-CN"/>
        </w:rPr>
      </w:pPr>
      <w:r/>
      <w:bookmarkStart w:id="0" w:name="_Toc101981929"/>
      <w:r/>
      <w:bookmarkStart w:id="1" w:name="_Toc161316664"/>
      <w:r>
        <w:rPr>
          <w:rFonts w:hint="eastAsia"/>
          <w:color w:val="auto"/>
          <w:highlight w:val="none"/>
          <w:lang w:eastAsia="zh-CN"/>
        </w:rPr>
        <w:br w:type="page" w:clear="all"/>
      </w:r>
      <w:r/>
    </w:p>
    <w:p>
      <w:pPr>
        <w:pStyle w:val="905"/>
        <w:spacing w:after="240"/>
        <w:rPr>
          <w:color w:val="auto"/>
          <w:highlight w:val="none"/>
          <w:lang w:eastAsia="zh-CN"/>
        </w:rPr>
      </w:pPr>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2"/>
        <w:jc w:val="both"/>
        <w:widowControl w:val="off"/>
        <w:rPr>
          <w:rFonts w:ascii="宋体" w:hAnsi="宋体" w:cs="Times New Roman"/>
          <w:bCs/>
          <w:color w:val="auto"/>
          <w:szCs w:val="24"/>
          <w:highlight w:val="none"/>
          <w:lang w:eastAsia="zh-CN"/>
        </w:rPr>
      </w:pPr>
      <w:r>
        <w:rPr>
          <w:rFonts w:hint="eastAsia" w:ascii="宋体" w:hAnsi="宋体" w:cs="Times New Roman"/>
          <w:b/>
          <w:color w:val="auto"/>
          <w:szCs w:val="24"/>
          <w:highlight w:val="none"/>
          <w:lang w:eastAsia="zh-CN"/>
        </w:rPr>
        <w:t xml:space="preserve">江苏智汇锡建工程项目管理有限公司</w:t>
      </w:r>
      <w:r>
        <w:rPr>
          <w:rFonts w:hint="eastAsia" w:ascii="宋体" w:hAnsi="宋体" w:cs="Times New Roman"/>
          <w:bCs/>
          <w:color w:val="auto"/>
          <w:szCs w:val="24"/>
          <w:highlight w:val="none"/>
          <w:lang w:eastAsia="zh-CN"/>
        </w:rPr>
        <w:t xml:space="preserve">受</w:t>
      </w:r>
      <w:r>
        <w:rPr>
          <w:rFonts w:hint="eastAsia" w:ascii="宋体" w:hAnsi="宋体" w:cs="宋体"/>
          <w:b/>
          <w:bCs/>
          <w:color w:val="auto"/>
          <w:szCs w:val="24"/>
          <w:highlight w:val="none"/>
          <w:lang w:eastAsia="zh-CN"/>
        </w:rPr>
        <w:t xml:space="preserve">无锡学院</w:t>
      </w:r>
      <w:r>
        <w:rPr>
          <w:rFonts w:hint="eastAsia" w:ascii="宋体" w:hAnsi="宋体" w:cs="Times New Roman"/>
          <w:bCs/>
          <w:color w:val="auto"/>
          <w:szCs w:val="24"/>
          <w:highlight w:val="none"/>
          <w:lang w:eastAsia="zh-CN"/>
        </w:rPr>
        <w:t xml:space="preserve">的委托，就</w:t>
      </w:r>
      <w:r>
        <w:rPr>
          <w:rFonts w:hint="eastAsia" w:ascii="宋体" w:hAnsi="宋体" w:cs="宋体"/>
          <w:b/>
          <w:bCs/>
          <w:color w:val="auto"/>
          <w:szCs w:val="24"/>
          <w:highlight w:val="none"/>
          <w:lang w:eastAsia="zh-CN"/>
        </w:rPr>
        <w:t xml:space="preserve">无锡学院先进制造实验室建设项目</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概况：本项目拟采购立式加工中心（三轴）、精密数控电火花成型加工机、CNC数智一体机、数控磨床、手持激光焊焊接机、高精密数控中走丝线切割加工机等先进设备。实验设备覆盖数控加工、特种加工、智能控制、精密磨削、激光焊接等先进制造技术领域，能够实现金属切削与零部件加工的全流程实践教学与工程研究。</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2.项目名称：</w:t>
      </w:r>
      <w:r>
        <w:rPr>
          <w:rFonts w:hint="eastAsia" w:ascii="宋体" w:hAnsi="宋体" w:cs="宋体"/>
          <w:bCs/>
          <w:color w:val="auto"/>
          <w:szCs w:val="24"/>
          <w:highlight w:val="none"/>
          <w:lang w:eastAsia="zh-CN"/>
        </w:rPr>
        <w:t xml:space="preserve">无锡学院先进制造实验室建设项目</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rPr>
          <w:rFonts w:ascii="宋体" w:hAnsi="宋体" w:cs="宋体"/>
          <w:color w:val="auto"/>
          <w:szCs w:val="24"/>
          <w:highlight w:val="none"/>
          <w:lang w:eastAsia="zh-CN"/>
        </w:rPr>
        <w:t xml:space="preserve">.项目编号：</w:t>
      </w:r>
      <w:r>
        <w:rPr>
          <w:rFonts w:hint="eastAsia" w:ascii="宋体" w:hAnsi="宋体" w:cs="宋体"/>
          <w:color w:val="auto"/>
          <w:szCs w:val="24"/>
          <w:highlight w:val="none"/>
          <w:lang w:eastAsia="zh-CN"/>
        </w:rPr>
        <w:t xml:space="preserve">JSZC-320200-JSZH-G2026-0071</w:t>
      </w:r>
      <w:r/>
    </w:p>
    <w:p>
      <w:pPr>
        <w:ind w:firstLine="480"/>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4.项目预算：308.6505</w:t>
      </w:r>
      <w:r>
        <w:rPr>
          <w:rFonts w:hint="eastAsia" w:ascii="宋体" w:hAnsi="宋体" w:cs="宋体"/>
          <w:bCs/>
          <w:color w:val="auto"/>
          <w:szCs w:val="24"/>
          <w:highlight w:val="none"/>
          <w:lang w:eastAsia="zh-CN"/>
        </w:rPr>
        <w:t xml:space="preserve">万元</w:t>
      </w:r>
      <w:r/>
    </w:p>
    <w:p>
      <w:pPr>
        <w:ind w:firstLine="482"/>
        <w:rPr>
          <w:rFonts w:ascii="宋体" w:hAnsi="宋体" w:cs="宋体"/>
          <w:color w:val="auto"/>
          <w:szCs w:val="24"/>
          <w:highlight w:val="none"/>
          <w:lang w:eastAsia="zh-CN"/>
        </w:rPr>
      </w:pPr>
      <w:r>
        <w:rPr>
          <w:rFonts w:hint="eastAsia" w:ascii="宋体" w:hAnsi="宋体" w:cs="宋体"/>
          <w:b/>
          <w:color w:val="auto"/>
          <w:szCs w:val="24"/>
          <w:highlight w:val="none"/>
          <w:lang w:eastAsia="zh-CN"/>
        </w:rPr>
        <w:t xml:space="preserve">5.最高限价：308.6505万元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6.交付周期：</w:t>
      </w:r>
      <w:r>
        <w:rPr>
          <w:rFonts w:hint="eastAsia" w:ascii="宋体" w:hAnsi="宋体"/>
          <w:bCs/>
          <w:color w:val="auto"/>
          <w:szCs w:val="24"/>
          <w:highlight w:val="none"/>
          <w:lang w:eastAsia="zh-CN"/>
        </w:rPr>
        <w:t xml:space="preserve">合同签订生效后60日历天内交货并完成安装调试。</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7.采购方式：公开招标</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8.采购人：</w:t>
      </w:r>
      <w:r>
        <w:rPr>
          <w:rFonts w:hint="eastAsia" w:ascii="宋体" w:hAnsi="宋体" w:cs="宋体"/>
          <w:bCs/>
          <w:color w:val="auto"/>
          <w:szCs w:val="24"/>
          <w:highlight w:val="none"/>
          <w:lang w:eastAsia="zh-CN"/>
        </w:rPr>
        <w:t xml:space="preserve">无锡学院</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9.本项目标的所属行业：</w:t>
      </w:r>
      <w:r>
        <w:rPr>
          <w:rFonts w:hint="eastAsia" w:ascii="宋体" w:hAnsi="宋体" w:cs="宋体"/>
          <w:bCs/>
          <w:color w:val="auto"/>
          <w:szCs w:val="24"/>
          <w:highlight w:val="none"/>
          <w:lang w:eastAsia="zh-CN"/>
        </w:rPr>
        <w:t xml:space="preserve">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10.本项目是否专门面向中小企业：否。</w:t>
      </w:r>
      <w:r/>
    </w:p>
    <w:p>
      <w:pPr>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rPr>
          <w:rFonts w:ascii="宋体" w:hAnsi="宋体" w:cs="Times New Roman"/>
          <w:color w:val="auto"/>
          <w:szCs w:val="24"/>
          <w:highlight w:val="none"/>
          <w:lang w:eastAsia="zh-CN"/>
        </w:rPr>
      </w:pPr>
      <w:r>
        <w:rPr>
          <w:rFonts w:ascii="宋体" w:hAnsi="宋体" w:cs="宋体"/>
          <w:bCs/>
          <w:color w:val="auto"/>
          <w:szCs w:val="24"/>
          <w:highlight w:val="none"/>
          <w:lang w:eastAsia="zh-CN"/>
        </w:rPr>
        <w:t xml:space="preserve">3.落实政府采购政策需满足的资格要求：</w:t>
      </w:r>
      <w:r>
        <w:rPr>
          <w:rFonts w:hint="eastAsia" w:ascii="宋体" w:hAnsi="宋体" w:cs="宋体"/>
          <w:bCs/>
          <w:color w:val="auto"/>
          <w:szCs w:val="24"/>
          <w:highlight w:val="none"/>
          <w:lang w:eastAsia="zh-CN"/>
        </w:rPr>
        <w:t xml:space="preserve">无；</w:t>
      </w:r>
      <w:r/>
    </w:p>
    <w:p>
      <w:pPr>
        <w:ind w:firstLine="480"/>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本项目的特定资格要求：无。 </w:t>
      </w:r>
      <w:r/>
    </w:p>
    <w:p>
      <w:pPr>
        <w:ind w:firstLine="480"/>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color w:val="auto"/>
          <w:szCs w:val="24"/>
          <w:highlight w:val="none"/>
          <w:u w:val="single"/>
          <w:lang w:eastAsia="zh-CN"/>
        </w:rPr>
        <w:t xml:space="preserve"> </w:t>
      </w:r>
      <w:r>
        <w:rPr>
          <w:rFonts w:hint="eastAsia" w:ascii="宋体" w:hAnsi="宋体" w:cs="宋体"/>
          <w:b/>
          <w:bCs/>
          <w:color w:val="auto"/>
          <w:szCs w:val="24"/>
          <w:highlight w:val="none"/>
          <w:u w:val="single"/>
          <w:lang w:eastAsia="zh-CN"/>
        </w:rPr>
        <w:t xml:space="preserve">不接受 </w:t>
      </w:r>
      <w:r>
        <w:rPr>
          <w:rFonts w:hint="eastAsia" w:ascii="宋体" w:hAnsi="宋体" w:cs="宋体"/>
          <w:color w:val="auto"/>
          <w:szCs w:val="24"/>
          <w:highlight w:val="none"/>
          <w:lang w:eastAsia="zh-CN"/>
        </w:rPr>
        <w:t xml:space="preserve">联合体投标。</w:t>
      </w:r>
      <w:r/>
    </w:p>
    <w:p>
      <w:pPr>
        <w:ind w:firstLine="482"/>
        <w:rPr>
          <w:rFonts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技术支持QQ：田女士：3071474382；王先生：897651173。</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rPr>
          <w:rFonts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在“项目参与”－“采购项目”中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w:t>
      </w:r>
      <w:r>
        <w:rPr>
          <w:rFonts w:hint="eastAsia" w:ascii="宋体" w:hAnsi="宋体" w:cs="宋体"/>
          <w:bCs/>
          <w:color w:val="auto"/>
          <w:szCs w:val="24"/>
          <w:highlight w:val="none"/>
        </w:rPr>
        <w:t xml:space="preserve">2726537@qq.com</w:t>
      </w:r>
      <w:r>
        <w:rPr>
          <w:rFonts w:hint="eastAsia" w:ascii="宋体" w:hAnsi="宋体" w:cs="Times New Roman"/>
          <w:color w:val="auto"/>
          <w:szCs w:val="24"/>
          <w:highlight w:val="none"/>
          <w:lang w:eastAsia="zh-CN"/>
        </w:rPr>
        <w:t xml:space="preserve">）等方式开展线上不见面答疑服务。截至</w:t>
      </w:r>
      <w:r>
        <w:rPr>
          <w:rFonts w:ascii="宋体" w:hAnsi="宋体" w:cs="Times New Roman"/>
          <w:color w:val="auto"/>
          <w:szCs w:val="24"/>
          <w:highlight w:val="none"/>
          <w:lang w:eastAsia="zh-CN"/>
        </w:rPr>
        <w:t xml:space="preserve">2026年</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11</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val="en-US" w:eastAsia="zh-CN"/>
        </w:rPr>
        <w:t xml:space="preserve">7</w:t>
      </w:r>
      <w:r>
        <w:rPr>
          <w:rFonts w:ascii="宋体" w:hAnsi="宋体" w:cs="Times New Roman"/>
          <w:color w:val="auto"/>
          <w:szCs w:val="24"/>
          <w:highlight w:val="none"/>
          <w:lang w:eastAsia="zh-CN"/>
        </w:rPr>
        <w:t xml:space="preserve">:00</w:t>
      </w:r>
      <w:r>
        <w:rPr>
          <w:rFonts w:hint="eastAsia" w:ascii="宋体" w:hAnsi="宋体" w:cs="Times New Roman"/>
          <w:color w:val="auto"/>
          <w:szCs w:val="24"/>
          <w:highlight w:val="none"/>
          <w:lang w:eastAsia="zh-CN"/>
        </w:rPr>
        <w:t xml:space="preserve">前</w:t>
      </w:r>
      <w:r>
        <w:rPr>
          <w:rFonts w:hint="eastAsia" w:ascii="宋体" w:hAnsi="宋体" w:cs="Times New Roman"/>
          <w:color w:val="auto"/>
          <w:szCs w:val="24"/>
          <w:highlight w:val="none"/>
          <w:lang w:eastAsia="zh-CN"/>
        </w:rPr>
        <w:t xml:space="preserve">，有关单位对于招标文件的相关事项如有疑问，可通过上述方式咨询；供应商如有需要对招标文件要求澄清的问题，请以书面形式（必须加盖投标供应商公章，也请务必留下联系方式，以便回复）提出“JSZC-320200-JSZH-G2026-0071需澄清问题”，并于答疑截止时间前发邮件（</w:t>
      </w:r>
      <w:r>
        <w:rPr>
          <w:rFonts w:hint="eastAsia" w:ascii="宋体" w:hAnsi="宋体" w:cs="宋体"/>
          <w:bCs/>
          <w:color w:val="auto"/>
          <w:szCs w:val="24"/>
          <w:highlight w:val="none"/>
          <w:lang w:eastAsia="zh-CN"/>
        </w:rPr>
        <w:t xml:space="preserve">2726537@qq.com</w:t>
      </w:r>
      <w:r>
        <w:rPr>
          <w:rFonts w:hint="eastAsia" w:ascii="宋体" w:hAnsi="宋体" w:cs="Times New Roman"/>
          <w:color w:val="auto"/>
          <w:szCs w:val="24"/>
          <w:highlight w:val="none"/>
          <w:lang w:eastAsia="zh-CN"/>
        </w:rPr>
        <w:t xml:space="preserve">）给项目联系人。若未在法定时间内提出澄清，由此造成的损失及风险由供应商自行承担。 </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rPr>
          <w:rFonts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rPr>
          <w:rFonts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28</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9:30</w:t>
      </w: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投标截止时间后的投标文件恕不接受。</w:t>
      </w:r>
      <w:r/>
    </w:p>
    <w:p>
      <w:pPr>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28</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 9:30</w:t>
      </w:r>
      <w:r/>
    </w:p>
    <w:p>
      <w:pPr>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定标地点：无锡市新吴区和风路19号启迪协信中心6号楼9楼  </w:t>
      </w:r>
      <w:r/>
    </w:p>
    <w:p>
      <w:pPr>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rPr>
          <w:rFonts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采购</w:t>
      </w:r>
      <w:r>
        <w:rPr>
          <w:rFonts w:ascii="宋体" w:hAnsi="宋体" w:cs="Times New Roman"/>
          <w:color w:val="auto"/>
          <w:szCs w:val="24"/>
          <w:highlight w:val="none"/>
          <w:lang w:eastAsia="zh-CN"/>
        </w:rPr>
        <w:t xml:space="preserve">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1.采购人：无锡学院</w:t>
      </w:r>
      <w:r/>
    </w:p>
    <w:p>
      <w:pPr>
        <w:ind w:firstLine="480"/>
        <w:tabs>
          <w:tab w:val="left" w:pos="5148" w:leader="none"/>
        </w:tabs>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采购人地址：</w:t>
      </w:r>
      <w:r>
        <w:rPr>
          <w:rFonts w:hint="eastAsia" w:ascii="宋体" w:hAnsi="宋体" w:cs="宋体"/>
          <w:color w:val="auto"/>
          <w:szCs w:val="24"/>
          <w:highlight w:val="none"/>
          <w:lang w:eastAsia="zh-CN"/>
        </w:rPr>
        <w:t xml:space="preserve">无锡市锡山区锡山大道333号</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人：吴老师</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联系方式：18761800255</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2.采购代理机构：</w:t>
      </w:r>
      <w:r>
        <w:rPr>
          <w:rFonts w:hint="eastAsia" w:ascii="宋体" w:hAnsi="宋体" w:cs="宋体"/>
          <w:bCs/>
          <w:color w:val="auto"/>
          <w:szCs w:val="24"/>
          <w:highlight w:val="none"/>
          <w:lang w:eastAsia="zh-CN"/>
        </w:rPr>
        <w:t xml:space="preserve">江苏智汇锡建工程项目管理有限公司</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联系地址：无锡市新吴区和风路19号启迪协信中心6号楼9楼</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联系人：许居磊</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联系电话：</w:t>
      </w:r>
      <w:r>
        <w:rPr>
          <w:rFonts w:hint="eastAsia" w:ascii="宋体" w:hAnsi="宋体" w:cs="宋体"/>
          <w:color w:val="auto"/>
          <w:highlight w:val="none"/>
          <w:lang w:eastAsia="zh-CN"/>
        </w:rPr>
        <w:t xml:space="preserve">18013775326</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w:t>
      </w:r>
      <w:r>
        <w:rPr>
          <w:rFonts w:ascii="宋体" w:hAnsi="宋体" w:cs="Times New Roman"/>
          <w:color w:val="auto"/>
          <w:szCs w:val="24"/>
          <w:highlight w:val="none"/>
          <w:lang w:eastAsia="zh-CN"/>
        </w:rPr>
        <w:t xml:space="preserve">00 </w:t>
      </w:r>
      <w:r/>
    </w:p>
    <w:p>
      <w:pPr>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ind w:firstLine="0"/>
        <w:jc w:val="both"/>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905"/>
        <w:spacing w:after="240"/>
        <w:rPr>
          <w:rFonts w:ascii="黑体" w:hAnsi="黑体"/>
          <w:color w:val="auto"/>
          <w:szCs w:val="36"/>
          <w:highlight w:val="none"/>
          <w:lang w:eastAsia="zh-CN"/>
        </w:rPr>
      </w:pPr>
      <w:r/>
      <w:bookmarkStart w:id="8" w:name="_Toc161316665"/>
      <w:r>
        <w:rPr>
          <w:color w:val="auto"/>
          <w:highlight w:val="none"/>
          <w:lang w:eastAsia="zh-CN"/>
        </w:rPr>
        <w:br w:type="page" w:clear="all"/>
      </w:r>
      <w:r>
        <w:rPr>
          <w:rFonts w:hint="eastAsia"/>
          <w:color w:val="auto"/>
          <w:highlight w:val="none"/>
          <w:lang w:eastAsia="zh-CN"/>
        </w:rPr>
        <w:t xml:space="preserve">二、供应商须知</w:t>
      </w:r>
      <w:bookmarkEnd w:id="8"/>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中免费下载公开招标文件（在“项目参与”——“采购项目”中找到需要获取采购文件的项目，点击“我要参与”——“参与投标”——“下载文件”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3.投标供应商一旦参加本项目投标，即表明其承诺接受了本招标文件中的所有条件和规定。</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w:t>
      </w:r>
      <w:r>
        <w:rPr>
          <w:rFonts w:hint="eastAsia" w:ascii="宋体" w:hAnsi="宋体" w:cs="Times New Roman"/>
          <w:color w:val="auto"/>
          <w:szCs w:val="24"/>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本文件的最终解释权归采购人所有。</w:t>
      </w:r>
      <w:r/>
    </w:p>
    <w:p>
      <w:pPr>
        <w:ind w:firstLine="482"/>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3.供应商应于投标截止日前以电子邮件形式发送至江苏智汇锡建工程项目管理有限公司，确认已收到修改文件或延期开标通知，邮箱：</w:t>
      </w:r>
      <w:r>
        <w:rPr>
          <w:rFonts w:hint="eastAsia" w:ascii="宋体" w:hAnsi="宋体" w:cs="Times New Roman"/>
          <w:color w:val="auto"/>
          <w:szCs w:val="24"/>
          <w:highlight w:val="none"/>
          <w:lang w:eastAsia="zh-CN"/>
        </w:rPr>
        <w:t xml:space="preserve">2726537</w:t>
      </w:r>
      <w:r>
        <w:rPr>
          <w:rFonts w:ascii="宋体" w:hAnsi="宋体" w:cs="Times New Roman"/>
          <w:color w:val="auto"/>
          <w:szCs w:val="24"/>
          <w:highlight w:val="none"/>
          <w:lang w:eastAsia="zh-CN"/>
        </w:rPr>
        <w:t xml:space="preserve">@qq.com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rPr>
          <w:rFonts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rPr>
          <w:rFonts w:ascii="宋体" w:hAnsi="宋体" w:cs="Times New Roman"/>
          <w:color w:val="auto"/>
          <w:szCs w:val="24"/>
          <w:highlight w:val="none"/>
          <w:lang w:eastAsia="zh-CN"/>
        </w:rPr>
      </w:pPr>
      <w:r/>
      <w:bookmarkStart w:id="11"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（投标供应商如允许以分支机构身份参加投标的，提供投标供应商分支机构的营业执照扫描件）；</w:t>
      </w:r>
      <w:r/>
    </w:p>
    <w:p>
      <w:pPr>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（正、反面，法定代表人亲自参与投标的除外）</w:t>
      </w:r>
      <w:r>
        <w:rPr>
          <w:rFonts w:hint="eastAsia" w:ascii="宋体" w:hAnsi="宋体" w:cs="Times New Roman"/>
          <w:color w:val="auto"/>
          <w:szCs w:val="24"/>
          <w:highlight w:val="none"/>
          <w:lang w:eastAsia="zh-CN"/>
        </w:rPr>
        <w:t xml:space="preserve">； </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，监狱企业由省级以上监狱管理局、戒毒管理局出具的属于监狱企业的证明文件；</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1"/>
      <w:r/>
    </w:p>
    <w:p>
      <w:pPr>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 xml:space="preserve">5.</w:t>
      </w:r>
      <w:r>
        <w:rPr>
          <w:rFonts w:hint="eastAsia" w:ascii="宋体" w:hAnsi="宋体" w:cs="Times New Roman"/>
          <w:color w:val="auto"/>
          <w:szCs w:val="24"/>
          <w:highlight w:val="none"/>
          <w:lang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偏离表</w:t>
      </w:r>
      <w:r>
        <w:rPr>
          <w:rFonts w:hint="eastAsia" w:ascii="宋体" w:hAnsi="宋体" w:cs="Times New Roman"/>
          <w:b/>
          <w:bCs/>
          <w:color w:val="auto"/>
          <w:szCs w:val="24"/>
          <w:highlight w:val="none"/>
          <w:lang w:eastAsia="zh-CN"/>
        </w:rPr>
        <w:t xml:space="preserve">（格式见附件）</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供应商情况表</w:t>
      </w:r>
      <w:r>
        <w:rPr>
          <w:rFonts w:hint="eastAsia" w:ascii="宋体" w:hAnsi="宋体" w:cs="Times New Roman"/>
          <w:b/>
          <w:bCs/>
          <w:color w:val="auto"/>
          <w:szCs w:val="24"/>
          <w:highlight w:val="none"/>
          <w:lang w:eastAsia="zh-CN"/>
        </w:rPr>
        <w:t xml:space="preserve">（格式见附件）</w:t>
      </w:r>
      <w:r/>
    </w:p>
    <w:p>
      <w:pPr>
        <w:ind w:firstLine="480"/>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8.</w:t>
      </w:r>
      <w:r>
        <w:rPr>
          <w:rFonts w:hint="eastAsia" w:ascii="宋体" w:hAnsi="宋体" w:cs="宋体"/>
          <w:color w:val="auto"/>
          <w:highlight w:val="none"/>
          <w:lang w:eastAsia="zh-CN"/>
        </w:rPr>
        <w:t xml:space="preserve">供应商近年已完成类似业绩一览表</w:t>
      </w:r>
      <w:r>
        <w:rPr>
          <w:rFonts w:hint="eastAsia" w:ascii="宋体" w:hAnsi="宋体" w:cs="宋体"/>
          <w:b/>
          <w:bCs/>
          <w:color w:val="auto"/>
          <w:szCs w:val="24"/>
          <w:highlight w:val="none"/>
          <w:lang w:eastAsia="zh-CN"/>
        </w:rPr>
        <w:t xml:space="preserve">（格式见附件）</w:t>
      </w:r>
      <w:r>
        <w:rPr>
          <w:rFonts w:hint="eastAsia" w:ascii="宋体" w:hAnsi="宋体" w:cs="宋体"/>
          <w:color w:val="auto"/>
          <w:highlight w:val="none"/>
          <w:lang w:eastAsia="zh-CN"/>
        </w:rPr>
        <w:t xml:space="preserve"> </w:t>
      </w:r>
      <w:r/>
    </w:p>
    <w:p>
      <w:pPr>
        <w:ind w:firstLine="480"/>
        <w:rPr>
          <w:rFonts w:ascii="宋体" w:hAnsi="宋体" w:cs="宋体"/>
          <w:color w:val="auto"/>
          <w:highlight w:val="none"/>
          <w:lang w:eastAsia="zh-CN"/>
        </w:rPr>
      </w:pPr>
      <w:r>
        <w:rPr>
          <w:rFonts w:hint="eastAsia" w:ascii="宋体" w:hAnsi="宋体" w:cs="宋体"/>
          <w:color w:val="auto"/>
          <w:szCs w:val="24"/>
          <w:highlight w:val="none"/>
          <w:lang w:eastAsia="zh-CN"/>
        </w:rPr>
        <w:t xml:space="preserve">9.</w:t>
      </w:r>
      <w:r>
        <w:rPr>
          <w:rFonts w:hint="eastAsia" w:ascii="宋体" w:hAnsi="宋体" w:cs="宋体"/>
          <w:color w:val="auto"/>
          <w:highlight w:val="none"/>
          <w:lang w:eastAsia="zh-CN"/>
        </w:rPr>
        <w:t xml:space="preserve">提供第三章</w:t>
      </w:r>
      <w:r>
        <w:rPr>
          <w:rFonts w:hint="eastAsia" w:ascii="宋体" w:hAnsi="宋体" w:cs="宋体"/>
          <w:color w:val="auto"/>
          <w:szCs w:val="24"/>
          <w:highlight w:val="none"/>
          <w:lang w:eastAsia="zh-CN"/>
        </w:rPr>
        <w:t xml:space="preserve">采购需求和技术有关要求中</w:t>
      </w:r>
      <w:r>
        <w:rPr>
          <w:rFonts w:hint="eastAsia" w:ascii="宋体" w:hAnsi="宋体" w:cs="宋体"/>
          <w:color w:val="auto"/>
          <w:highlight w:val="none"/>
          <w:lang w:eastAsia="zh-CN"/>
        </w:rPr>
        <w:t xml:space="preserve">需提供的相关证明材料</w:t>
      </w:r>
      <w:r/>
    </w:p>
    <w:p>
      <w:pPr>
        <w:ind w:firstLine="480"/>
        <w:rPr>
          <w:rFonts w:ascii="宋体" w:hAnsi="宋体" w:cs="宋体"/>
          <w:b/>
          <w:bCs/>
          <w:color w:val="auto"/>
          <w:szCs w:val="24"/>
          <w:highlight w:val="none"/>
          <w:lang w:eastAsia="zh-CN"/>
        </w:rPr>
      </w:pPr>
      <w:r>
        <w:rPr>
          <w:rFonts w:hint="eastAsia" w:ascii="宋体" w:hAnsi="宋体" w:cs="宋体"/>
          <w:color w:val="auto"/>
          <w:highlight w:val="none"/>
          <w:lang w:eastAsia="zh-CN"/>
        </w:rPr>
        <w:t xml:space="preserve">10.</w:t>
      </w:r>
      <w:r>
        <w:rPr>
          <w:rFonts w:hint="eastAsia" w:ascii="宋体" w:hAnsi="宋体" w:cs="宋体"/>
          <w:color w:val="auto"/>
          <w:szCs w:val="24"/>
          <w:highlight w:val="none"/>
          <w:lang w:eastAsia="zh-CN"/>
        </w:rPr>
        <w:t xml:space="preserve">技术方案</w:t>
      </w:r>
      <w:r>
        <w:rPr>
          <w:rFonts w:hint="eastAsia" w:ascii="宋体" w:hAnsi="宋体" w:cs="宋体"/>
          <w:b/>
          <w:bCs/>
          <w:color w:val="auto"/>
          <w:szCs w:val="24"/>
          <w:highlight w:val="none"/>
          <w:lang w:eastAsia="zh-CN"/>
        </w:rPr>
        <w:t xml:space="preserve">（暗标，详见评分标准）</w:t>
      </w:r>
      <w:r/>
    </w:p>
    <w:p>
      <w:pPr>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特别注意：本项目采用暗标形式，投标供应商须参照评分标准的相关要求对商务部分和技术方案部分分别进行制作。其中技术方案部分属于暗标，投标供应商在制作技术方案部分相关内容时不得有体现投标供应商身份的内容，否则投标无效。</w:t>
      </w:r>
      <w:r/>
    </w:p>
    <w:p>
      <w:pPr>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（1）暗标编制应按采购文件规定的格式制作，要求版面整洁、字迹清楚、不得涂改、不得标注。</w:t>
      </w:r>
      <w:r/>
    </w:p>
    <w:p>
      <w:pPr>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暗标中所有内容均不得出现可识别供应商身份的任何字符、徽标，包括文字、符号、图案、标识、标志、人员姓名、企业名称、以往项目名称、投标供应商独有的标准名称或编号等，也不得采用任何不符合常规、有别于其他供应商的特殊做法。</w:t>
      </w:r>
      <w:r/>
    </w:p>
    <w:p>
      <w:pPr>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（3）字体、段落、页面布局的设置：</w:t>
      </w:r>
      <w:r/>
    </w:p>
    <w:p>
      <w:pPr>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字体：一级标题为宋体黑色二号字，其余正文均采用宋体黑色小四号字体，不得出现手写。</w:t>
      </w:r>
      <w:r/>
    </w:p>
    <w:p>
      <w:pPr>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段落：使用1.5倍行间距、字间距标准、每段段前空两格。</w:t>
      </w:r>
      <w:r/>
    </w:p>
    <w:p>
      <w:pPr>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页面布局：不得设置页眉、页脚（系统自动生成页码除外），纸张方向纵向、不得有空白页、页面底色白色，分栏为一栏。</w:t>
      </w:r>
      <w:r/>
    </w:p>
    <w:p>
      <w:pPr>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本项目技术方案为暗标，采用暗标形式，须按上述要求编制，否则视为符合性不通过。</w:t>
      </w:r>
      <w:r/>
    </w:p>
    <w:p>
      <w:pPr>
        <w:ind w:firstLine="480"/>
        <w:rPr>
          <w:rFonts w:ascii="宋体" w:hAnsi="宋体" w:cs="宋体"/>
          <w:b/>
          <w:bCs/>
          <w:color w:val="auto"/>
          <w:szCs w:val="24"/>
          <w:highlight w:val="none"/>
          <w:lang w:eastAsia="zh-CN"/>
        </w:rPr>
      </w:pPr>
      <w:r>
        <w:rPr>
          <w:rFonts w:hint="eastAsia" w:ascii="宋体" w:hAnsi="宋体" w:cs="宋体"/>
          <w:color w:val="auto"/>
          <w:highlight w:val="none"/>
          <w:lang w:eastAsia="zh-CN"/>
        </w:rPr>
        <w:t xml:space="preserve">11.</w:t>
      </w:r>
      <w:r>
        <w:rPr>
          <w:rFonts w:hint="eastAsia" w:ascii="宋体" w:hAnsi="宋体" w:cs="宋体"/>
          <w:color w:val="auto"/>
          <w:szCs w:val="24"/>
          <w:highlight w:val="none"/>
          <w:lang w:eastAsia="zh-CN"/>
        </w:rPr>
        <w:t xml:space="preserve">评分标准中对应的其他所需证明材料</w:t>
      </w:r>
      <w:r>
        <w:rPr>
          <w:rFonts w:hint="eastAsia" w:ascii="宋体" w:hAnsi="宋体" w:cs="宋体"/>
          <w:b/>
          <w:bCs/>
          <w:color w:val="auto"/>
          <w:szCs w:val="24"/>
          <w:highlight w:val="none"/>
          <w:lang w:eastAsia="zh-CN"/>
        </w:rPr>
        <w:t xml:space="preserve">（详见评分标准）</w:t>
      </w:r>
      <w:r/>
    </w:p>
    <w:p>
      <w:pPr>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12.</w:t>
      </w:r>
      <w:r>
        <w:rPr>
          <w:rFonts w:hint="eastAsia" w:ascii="宋体" w:hAnsi="宋体" w:cs="宋体"/>
          <w:color w:val="auto"/>
          <w:highlight w:val="none"/>
          <w:lang w:eastAsia="zh-CN"/>
        </w:rPr>
        <w:t xml:space="preserve">要求采购人提供的配合（</w:t>
      </w:r>
      <w:r>
        <w:rPr>
          <w:rFonts w:hint="eastAsia" w:ascii="宋体" w:hAnsi="宋体" w:cs="宋体"/>
          <w:b/>
          <w:bCs/>
          <w:color w:val="auto"/>
          <w:szCs w:val="24"/>
          <w:highlight w:val="none"/>
          <w:lang w:eastAsia="zh-CN"/>
        </w:rPr>
        <w:t xml:space="preserve">如有格式自拟并自行添加）</w:t>
      </w:r>
      <w:r/>
    </w:p>
    <w:p>
      <w:pPr>
        <w:ind w:firstLine="480"/>
        <w:rPr>
          <w:rFonts w:ascii="宋体" w:hAnsi="宋体" w:cs="Times New Roman"/>
          <w:color w:val="auto"/>
          <w:szCs w:val="24"/>
          <w:highlight w:val="none"/>
          <w:lang w:eastAsia="zh-CN"/>
        </w:rPr>
      </w:pPr>
      <w:r>
        <w:rPr>
          <w:rFonts w:hint="eastAsia" w:ascii="宋体" w:hAnsi="宋体" w:cs="宋体"/>
          <w:b/>
          <w:bCs/>
          <w:color w:val="auto"/>
          <w:szCs w:val="24"/>
          <w:highlight w:val="none"/>
          <w:lang w:eastAsia="zh-CN"/>
        </w:rPr>
        <w:t xml:space="preserve">13.</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0"/>
      <w:r/>
    </w:p>
    <w:p>
      <w:pPr>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上述1-10项供应商必须按要求全部提供，否则投标文件无效。如上述资格证明文件遇年检、换证，则必须提供法定年检、换证单位出具的有效证明扫描件。如上述资格证明文件第（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5.投标供应商在制作电子投标文件时，请正确关联到对应页面，在评审过程中，评审专家如因在相对应页面找不到该相关联的文件，由此产生的后果由投标供应商自行承担。</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ind w:firstLine="426"/>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ind w:firstLine="424"/>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投标费用自理。</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19.</w:t>
      </w:r>
      <w:r>
        <w:rPr>
          <w:rFonts w:hint="eastAsia" w:ascii="宋体" w:hAnsi="宋体" w:cs="Times New Roman"/>
          <w:color w:val="auto"/>
          <w:szCs w:val="24"/>
          <w:highlight w:val="none"/>
          <w:lang w:eastAsia="zh-CN"/>
        </w:rPr>
        <w:t xml:space="preserve">未通过符合性审查的；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22.投标文件内容不全或不符合招标文件中规定的其他实质性要求的，暗标未按招标文件要求编制的；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23.未按要求提供第三章采购需求和技术有关要求中须提供的相关证明材料的；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24.投标系统中不同投标供应商的MAC地址一致或标书制作工具客户端标识码一致的；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25.法律法规和招标文件规定的其他无效情形；</w:t>
      </w:r>
      <w:r/>
    </w:p>
    <w:p>
      <w:pPr>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评标委员会认定投标供应商的报价明显低于其他通过符合性审查投标供应商的报价，有可能影响产品质量或者不能诚信履约的，应当按照《财政部关于推动解决政府采购异常低价问题的通知》（财库〔</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）评审过程中出现下列情形之一的，评标委员会应当启动异常低价投标（响应）审查程序：</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投标（响应）报价低于全部通过符合性审查供应商投标（响应）报价平均值</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的，即投标（响应）报价＜全部通过符合性审查供应商投标（响应）报价平均值×</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投标（响应）报价低于通过符合性审查的次低报价供应商投标（响应）报价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的，即投标（响应）报价＜通过符合性审查的次低报价供应商投标（响应）报价×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投标（响应）报价低于采购项目最高限价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的，即投标（响应）报价＜采购项目最高限价×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评审委员会基于专业判断，认为供应商报价过低，有可能影响产品质量或者不能诚信履约的其他情形。</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）评审委员会启动异常低价投标（响应）审查后，属于前述第①项至第④项情形的，应当要求相关供应商在评审现场合理的时间内对投标（响应）价格作出解释，并</w:t>
      </w:r>
      <w:r>
        <w:rPr>
          <w:rFonts w:hint="eastAsia" w:ascii="宋体" w:hAnsi="宋体" w:cs="Times New Roman"/>
          <w:b/>
          <w:bCs/>
          <w:color w:val="auto"/>
          <w:szCs w:val="24"/>
          <w:highlight w:val="none"/>
          <w:lang w:eastAsia="zh-CN"/>
        </w:rPr>
        <w:t xml:space="preserve">提供项目具体成本测算等与报价合理性相关的书面说明及必要的证明材料，包括但不限于原材料成本、人工成本、制造费用等</w:t>
      </w:r>
      <w:r>
        <w:rPr>
          <w:rFonts w:hint="eastAsia" w:ascii="宋体" w:hAnsi="宋体" w:cs="Times New Roman"/>
          <w:color w:val="auto"/>
          <w:szCs w:val="24"/>
          <w:highlight w:val="none"/>
          <w:lang w:eastAsia="zh-CN"/>
        </w:rPr>
        <w:t xml:space="preserve">，给予相关供应商的合理时间一般不少于</w:t>
      </w:r>
      <w:r>
        <w:rPr>
          <w:rFonts w:ascii="宋体" w:hAnsi="宋体" w:cs="Times New Roman"/>
          <w:color w:val="auto"/>
          <w:szCs w:val="24"/>
          <w:highlight w:val="none"/>
          <w:lang w:eastAsia="zh-CN"/>
        </w:rPr>
        <w:t xml:space="preserve">30</w:t>
      </w:r>
      <w:r>
        <w:rPr>
          <w:rFonts w:hint="eastAsia" w:ascii="宋体" w:hAnsi="宋体" w:cs="Times New Roman"/>
          <w:color w:val="auto"/>
          <w:szCs w:val="24"/>
          <w:highlight w:val="none"/>
          <w:lang w:eastAsia="zh-CN"/>
        </w:rPr>
        <w:t xml:space="preserve">分钟（本项目约定为：</w:t>
      </w:r>
      <w:r>
        <w:rPr>
          <w:rFonts w:ascii="宋体" w:hAnsi="宋体" w:cs="Times New Roman"/>
          <w:color w:val="auto"/>
          <w:szCs w:val="24"/>
          <w:highlight w:val="none"/>
          <w:lang w:eastAsia="zh-CN"/>
        </w:rPr>
        <w:t xml:space="preserve">30</w:t>
      </w:r>
      <w:r>
        <w:rPr>
          <w:rFonts w:hint="eastAsia" w:ascii="宋体" w:hAnsi="宋体" w:cs="Times New Roman"/>
          <w:color w:val="auto"/>
          <w:szCs w:val="24"/>
          <w:highlight w:val="none"/>
          <w:lang w:eastAsia="zh-CN"/>
        </w:rPr>
        <w:t xml:space="preserve">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Times New Roman"/>
          <w:color w:val="auto"/>
          <w:szCs w:val="24"/>
          <w:highlight w:val="none"/>
          <w:lang w:eastAsia="zh-CN"/>
        </w:rPr>
        <w:t xml:space="preserve"> </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Times New Roman"/>
          <w:color w:val="auto"/>
          <w:szCs w:val="24"/>
          <w:highlight w:val="none"/>
          <w:lang w:eastAsia="zh-CN"/>
        </w:rPr>
        <w:t xml:space="preserve"> </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910"/>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37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本项目不接受联合投标；不允许分包、转包（详见“投标邀请函”－“供应商资格要求”之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pacing w:before="24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B．符合性检查。评标委员会依据招标文件的规定，从投标文件的有效性、完整性和对招标文件的响应程度进行审查，以确定是否对招标文件的实质性要求作出响应。</w:t>
      </w:r>
      <w:r/>
    </w:p>
    <w:p>
      <w:pPr>
        <w:ind w:firstLine="482"/>
        <w:jc w:val="center"/>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910"/>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556"/>
        <w:gridCol w:w="6051"/>
      </w:tblGrid>
      <w:tr>
        <w:trPr>
          <w:trHeight w:val="535"/>
        </w:trPr>
        <w:tc>
          <w:tcPr>
            <w:tcW w:w="75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556"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605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493"/>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60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570"/>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462"/>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偏离表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供应商情况表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725"/>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供应商近年来已完成类似业绩一览表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服务承诺</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823"/>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满足采购需求</w:t>
            </w:r>
            <w:r/>
          </w:p>
        </w:tc>
        <w:tc>
          <w:tcPr>
            <w:tcW w:w="6051"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满足招标文件第三章采购需求和技术有关要求，提供相关证明材料。</w:t>
            </w:r>
            <w:r/>
          </w:p>
        </w:tc>
      </w:tr>
      <w:tr>
        <w:trPr>
          <w:trHeight w:val="650"/>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60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2"/>
        <w:spacing w:before="240"/>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投标供应商通过初审的，方可进入比较与评价程序，本项目采用综合评分法。</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为排名第一的中标候选人，得分次高的投标供应商为排名第二的中标候选人，得分排列第三的投标供应商为排名第三的中标候选人。</w:t>
      </w:r>
      <w:r/>
    </w:p>
    <w:p>
      <w:pPr>
        <w:ind w:firstLine="480"/>
        <w:rPr>
          <w:rFonts w:ascii="宋体" w:hAnsi="宋体" w:cs="Times New Roman"/>
          <w:color w:val="auto"/>
          <w:szCs w:val="24"/>
          <w:highlight w:val="none"/>
          <w:lang w:eastAsia="zh-CN"/>
        </w:rPr>
      </w:pPr>
      <w:r/>
      <w:bookmarkStart w:id="12" w:name="_Hlk161324277"/>
      <w:r>
        <w:rPr>
          <w:rFonts w:hint="eastAsia" w:ascii="宋体" w:hAnsi="宋体" w:cs="Times New Roman"/>
          <w:color w:val="auto"/>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
    </w:p>
    <w:p>
      <w:pPr>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公告的同时，向成交方发出</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3" w:name="_Hlk161324674"/>
      <w:r>
        <w:rPr>
          <w:rFonts w:hint="eastAsia" w:ascii="宋体" w:hAnsi="宋体" w:cs="Times New Roman"/>
          <w:b/>
          <w:bCs/>
          <w:color w:val="auto"/>
          <w:szCs w:val="24"/>
          <w:highlight w:val="none"/>
          <w:lang w:eastAsia="zh-CN"/>
        </w:rPr>
        <w:t xml:space="preserve">中标无效的确认：</w:t>
      </w:r>
      <w:bookmarkEnd w:id="13"/>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智汇锡建工程项目管理有限公司见证后生效。</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highlight w:val="none"/>
          <w:lang w:eastAsia="zh-CN"/>
        </w:rPr>
        <w:t xml:space="preserve">.</w:t>
      </w:r>
      <w:r>
        <w:rPr>
          <w:rFonts w:hint="eastAsia" w:ascii="宋体" w:hAnsi="宋体" w:cs="宋体"/>
          <w:bCs/>
          <w:color w:val="auto"/>
          <w:szCs w:val="24"/>
          <w:highlight w:val="none"/>
          <w:lang w:val="zh-CN" w:eastAsia="zh-CN"/>
        </w:rPr>
        <w:t xml:space="preserve">”条款的规定向采购人或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提出质疑，上述应知其权益受到损害之日，是指：</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2.1对可以质疑的采购文件提出质疑的，为收到采购文件之日或者采购文件公告期限届满之日；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2.2对采购过程提出质疑的，为各采购程序环节结束之日；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2.3对中标或者成交结果提出质疑的，为中标或者成交结果公告期限届满之日。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、采购人将只对供应商第一次质疑作出答复。</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提出，由</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负责答复。</w:t>
      </w:r>
      <w:r/>
    </w:p>
    <w:p>
      <w:pPr>
        <w:ind w:firstLine="482"/>
        <w:rPr>
          <w:rFonts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只接收以纸质原件形式送达的质疑，质疑供应商可通过面交或邮寄方式送达（采购人和</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不接受未填写快递运单的快件）。</w:t>
      </w:r>
      <w:r/>
    </w:p>
    <w:p>
      <w:pPr>
        <w:ind w:firstLine="482"/>
        <w:rPr>
          <w:rFonts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联系人、联系方式、通信地址见招标文件第一章。</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5.以下情形的质疑不予受理：</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5.1 内容不符合《政府采购质疑和投诉办法》第十二条规定的质疑；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5.2 超出政府采购法定期限的质疑；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5.3 以传真、电子邮件等方式递交的非原件形式的质疑；</w:t>
      </w:r>
      <w:r/>
    </w:p>
    <w:p>
      <w:pPr>
        <w:ind w:right="-240"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5.4</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未参加投标活动的供应商或在投标活动中自身权益未受到损害的供应商所提出的质疑；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5.5</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供应商组成联合体参加投标</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lang w:val="zh-CN" w:eastAsia="zh-CN"/>
        </w:rPr>
        <w:t xml:space="preserve">，联合体中任何一方或多方未按要求签字、盖章、加盖公章的质疑。</w:t>
      </w:r>
      <w:r/>
    </w:p>
    <w:p>
      <w:pPr>
        <w:ind w:firstLine="480"/>
        <w:rPr>
          <w:rFonts w:ascii="宋体" w:hAnsi="宋体" w:cs="Times New Roman"/>
          <w:b/>
          <w:bCs/>
          <w:color w:val="auto"/>
          <w:szCs w:val="24"/>
          <w:highlight w:val="none"/>
          <w:lang w:eastAsia="zh-CN"/>
        </w:rPr>
      </w:pPr>
      <w:r>
        <w:rPr>
          <w:rFonts w:hint="eastAsia" w:ascii="宋体" w:hAnsi="宋体" w:cs="宋体"/>
          <w:bCs/>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有权依据政府采购的有关规定，报请政府采购监管部门对该供应商进行相应的行政处罚和记录该供应商的失信信息。</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（十五）服务费：</w:t>
      </w:r>
      <w:r/>
    </w:p>
    <w:p>
      <w:pPr>
        <w:ind w:firstLine="480"/>
        <w:jc w:val="both"/>
        <w:widowControl w:val="off"/>
        <w:tabs>
          <w:tab w:val="left" w:pos="525" w:leader="none"/>
          <w:tab w:val="left" w:pos="945" w:leader="none"/>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1.本次招标采购项目的代理服务费，由成交供应商领取中标通知书时支付。 </w:t>
      </w:r>
      <w:r/>
    </w:p>
    <w:p>
      <w:pPr>
        <w:ind w:firstLine="480"/>
        <w:jc w:val="both"/>
        <w:widowControl w:val="off"/>
        <w:tabs>
          <w:tab w:val="left" w:pos="525" w:leader="none"/>
          <w:tab w:val="left" w:pos="945" w:leader="none"/>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2.供应商的投标报价（含按优惠率折算后的结算价）应当包含本次项目的代理服务费，该费用已计入投标总价/结算价中，采购人不另行支付。 </w:t>
      </w:r>
      <w:r/>
    </w:p>
    <w:p>
      <w:pPr>
        <w:ind w:firstLine="480"/>
        <w:jc w:val="both"/>
        <w:widowControl w:val="off"/>
        <w:tabs>
          <w:tab w:val="left" w:pos="525" w:leader="none"/>
          <w:tab w:val="left" w:pos="945" w:leader="none"/>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代理服务费：以成交金额为计费基础，收费标准为（货物类）。中标金额100万（含100万）以下费率为中标金额的1.5%，100万—500万费率为中标金额的1.1%，按三折计取。（单个项目不满2000元按2000元计算；单个项目最高限价不超过50000元），由成交供应商支付。</w:t>
      </w:r>
      <w:r/>
    </w:p>
    <w:p>
      <w:pPr>
        <w:ind w:firstLine="480"/>
        <w:jc w:val="both"/>
        <w:widowControl w:val="off"/>
        <w:tabs>
          <w:tab w:val="left" w:pos="525" w:leader="none"/>
          <w:tab w:val="left" w:pos="945" w:leader="none"/>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4.供应商应在投标报价/测算优惠率时，自行将该笔代理服务费纳入成本测算并包含在内；采购人不承担任何因供应商对代理服务费计取方式理解偏差、漏算费用而产生的额外费用或相关责任。</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（十六）信用担保</w:t>
      </w:r>
      <w:r/>
    </w:p>
    <w:p>
      <w:pPr>
        <w:ind w:firstLine="72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（十七）政府采购合同融资：</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highlight w:val="none"/>
          <w:lang w:eastAsia="zh-CN"/>
        </w:rPr>
        <w:br w:type="page" w:clear="all"/>
      </w:r>
      <w:r/>
    </w:p>
    <w:p>
      <w:pPr>
        <w:pStyle w:val="905"/>
        <w:spacing w:after="240"/>
        <w:rPr>
          <w:rFonts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14"/>
      <w:r/>
      <w:r/>
    </w:p>
    <w:p>
      <w:pPr>
        <w:ind w:right="-143" w:firstLine="480"/>
        <w:rPr>
          <w:color w:val="auto"/>
          <w:highlight w:val="none"/>
          <w:lang w:eastAsia="zh-CN"/>
        </w:rPr>
      </w:pPr>
      <w:r>
        <w:rPr>
          <w:rFonts w:hint="eastAsia"/>
          <w:color w:val="auto"/>
          <w:highlight w:val="none"/>
          <w:lang w:eastAsia="zh-CN"/>
        </w:rPr>
        <w:t xml:space="preserve">本项目为无锡学院先进制造实验室建设项目，核心产品为：</w:t>
      </w:r>
      <w:r>
        <w:rPr>
          <w:rFonts w:hint="eastAsia"/>
          <w:b/>
          <w:bCs/>
          <w:color w:val="auto"/>
          <w:highlight w:val="none"/>
          <w:lang w:eastAsia="zh-CN"/>
        </w:rPr>
        <w:t xml:space="preserve">五轴数控一体机</w:t>
      </w:r>
      <w:r>
        <w:rPr>
          <w:rFonts w:hint="eastAsia"/>
          <w:color w:val="auto"/>
          <w:highlight w:val="none"/>
          <w:lang w:eastAsia="zh-CN"/>
        </w:rPr>
        <w:t xml:space="preserve">。投标供应商所投内容必须满足以下要求，不得有负偏离。</w:t>
      </w:r>
      <w:r/>
    </w:p>
    <w:p>
      <w:pPr>
        <w:ind w:right="-143" w:firstLine="0"/>
        <w:rPr>
          <w:color w:val="auto"/>
          <w:highlight w:val="none"/>
          <w:lang w:eastAsia="zh-CN"/>
        </w:rPr>
      </w:pPr>
      <w:r>
        <w:rPr>
          <w:rFonts w:hint="eastAsia"/>
          <w:b/>
          <w:color w:val="auto"/>
          <w:highlight w:val="none"/>
          <w:lang w:eastAsia="zh-CN"/>
        </w:rPr>
        <w:t xml:space="preserve">（一）项目基本情况</w:t>
      </w:r>
      <w:r/>
    </w:p>
    <w:p>
      <w:pPr>
        <w:ind w:right="-143" w:firstLine="480"/>
        <w:rPr>
          <w:rFonts w:ascii="宋体" w:hAnsi="宋体" w:cs="宋体"/>
          <w:color w:val="auto"/>
          <w:highlight w:val="none"/>
          <w:lang w:eastAsia="zh-CN"/>
        </w:rPr>
      </w:pPr>
      <w:r>
        <w:rPr>
          <w:rFonts w:hint="eastAsia" w:ascii="宋体" w:hAnsi="宋体" w:cs="宋体"/>
          <w:color w:val="auto"/>
          <w:highlight w:val="none"/>
          <w:lang w:eastAsia="zh-CN"/>
        </w:rPr>
        <w:t xml:space="preserve">1.项目概况：本项目拟采购立式加工中心（三轴）、精密数控电火花成型加工机、CNC数智一体机、数控磨床、手持激光焊焊接机、高精密数控中走丝线切割加工机等先进设备。实验设备覆盖数控加工、特种加工、智能控制、精密磨削、激光焊接等先进制造技术领域，能够实现金属切削与零部件加工的全流程实践教学与工程研究。</w:t>
      </w:r>
      <w:r/>
    </w:p>
    <w:p>
      <w:pPr>
        <w:ind w:right="-143" w:firstLine="480"/>
        <w:rPr>
          <w:rFonts w:ascii="宋体" w:hAnsi="宋体" w:cs="宋体"/>
          <w:color w:val="auto"/>
          <w:highlight w:val="none"/>
          <w:lang w:eastAsia="zh-CN"/>
        </w:rPr>
      </w:pPr>
      <w:r>
        <w:rPr>
          <w:rFonts w:hint="eastAsia" w:ascii="宋体" w:hAnsi="宋体" w:cs="宋体"/>
          <w:color w:val="auto"/>
          <w:highlight w:val="none"/>
          <w:lang w:eastAsia="zh-CN"/>
        </w:rPr>
        <w:t xml:space="preserve">2.项目地址：无锡学院。</w:t>
      </w:r>
      <w:r/>
    </w:p>
    <w:p>
      <w:pPr>
        <w:ind w:right="-143" w:firstLine="480"/>
        <w:rPr>
          <w:rFonts w:ascii="宋体" w:hAnsi="宋体" w:cs="宋体"/>
          <w:color w:val="auto"/>
          <w:highlight w:val="none"/>
          <w:lang w:eastAsia="zh-CN"/>
        </w:rPr>
      </w:pPr>
      <w:r>
        <w:rPr>
          <w:rFonts w:hint="eastAsia" w:ascii="宋体" w:hAnsi="宋体" w:cs="宋体"/>
          <w:color w:val="auto"/>
          <w:highlight w:val="none"/>
          <w:lang w:eastAsia="zh-CN"/>
        </w:rPr>
        <w:t xml:space="preserve">3.采购范围：清单范围内的无锡学院先进制造实验室建设项目所需货物。</w:t>
      </w:r>
      <w:r/>
    </w:p>
    <w:p>
      <w:pPr>
        <w:ind w:right="-143" w:firstLine="480"/>
        <w:rPr>
          <w:rFonts w:ascii="宋体" w:hAnsi="宋体" w:cs="宋体"/>
          <w:color w:val="auto"/>
          <w:highlight w:val="none"/>
          <w:lang w:eastAsia="zh-CN"/>
        </w:rPr>
      </w:pPr>
      <w:r>
        <w:rPr>
          <w:rFonts w:hint="eastAsia" w:ascii="宋体" w:hAnsi="宋体" w:cs="宋体"/>
          <w:color w:val="auto"/>
          <w:highlight w:val="none"/>
          <w:lang w:eastAsia="zh-CN"/>
        </w:rPr>
        <w:t xml:space="preserve">4.交付周期：合同签订生效后60日历天</w:t>
      </w:r>
      <w:r>
        <w:rPr>
          <w:rFonts w:ascii="宋体" w:hAnsi="宋体" w:cs="宋体"/>
          <w:color w:val="auto"/>
          <w:highlight w:val="none"/>
          <w:lang w:eastAsia="zh-CN"/>
        </w:rPr>
        <w:t xml:space="preserve">内交货并完成安装调试</w:t>
      </w:r>
      <w:r>
        <w:rPr>
          <w:rFonts w:hint="eastAsia" w:ascii="宋体" w:hAnsi="宋体" w:cs="宋体"/>
          <w:color w:val="auto"/>
          <w:highlight w:val="none"/>
          <w:lang w:eastAsia="zh-CN"/>
        </w:rPr>
        <w:t xml:space="preserve">。</w:t>
      </w:r>
      <w:r/>
    </w:p>
    <w:p>
      <w:pPr>
        <w:ind w:right="-143" w:firstLine="480"/>
        <w:rPr>
          <w:color w:val="auto"/>
          <w:highlight w:val="none"/>
          <w:lang w:eastAsia="zh-CN"/>
        </w:rPr>
      </w:pPr>
      <w:r>
        <w:rPr>
          <w:rFonts w:hint="eastAsia" w:ascii="宋体" w:hAnsi="宋体" w:cs="宋体"/>
          <w:color w:val="auto"/>
          <w:highlight w:val="none"/>
          <w:lang w:eastAsia="zh-CN"/>
        </w:rPr>
        <w:t xml:space="preserve">5.</w:t>
      </w:r>
      <w:r>
        <w:rPr>
          <w:rFonts w:hint="eastAsia"/>
          <w:color w:val="auto"/>
          <w:highlight w:val="none"/>
          <w:lang w:eastAsia="zh-CN"/>
        </w:rPr>
        <w:t xml:space="preserve">付款方式</w:t>
      </w:r>
      <w:r>
        <w:rPr>
          <w:rFonts w:hint="eastAsia" w:ascii="宋体" w:hAnsi="宋体" w:cs="宋体"/>
          <w:color w:val="auto"/>
          <w:highlight w:val="none"/>
          <w:lang w:eastAsia="zh-CN"/>
        </w:rPr>
        <w:t xml:space="preserve">：中标价即为合同价，合同签订后支付合同总价的30%作为预付款（供应商须提供等额预付款保函并向学校开具发票），终验合格后支付至合同金额的70%，审计结束后支付至审计金额的90%，质保期满后付清剩余尾款。</w:t>
      </w:r>
      <w:r/>
    </w:p>
    <w:p>
      <w:pPr>
        <w:ind w:right="-143" w:firstLine="0"/>
        <w:rPr>
          <w:b/>
          <w:color w:val="auto"/>
          <w:highlight w:val="none"/>
          <w:lang w:eastAsia="zh-CN"/>
        </w:rPr>
      </w:pPr>
      <w:r>
        <w:rPr>
          <w:rFonts w:hint="eastAsia"/>
          <w:b/>
          <w:color w:val="auto"/>
          <w:highlight w:val="none"/>
          <w:lang w:eastAsia="zh-CN"/>
        </w:rPr>
        <w:t xml:space="preserve">（二）采购清单及参数要求</w:t>
      </w:r>
      <w:r/>
    </w:p>
    <w:p>
      <w:pPr>
        <w:ind w:right="-143" w:firstLine="480"/>
        <w:spacing w:line="240" w:lineRule="auto"/>
        <w:rPr>
          <w:rFonts w:ascii="宋体" w:hAnsi="宋体" w:cs="宋体"/>
          <w:color w:val="auto"/>
          <w:highlight w:val="none"/>
          <w:lang w:eastAsia="zh-CN"/>
        </w:rPr>
      </w:pPr>
      <w:r>
        <w:rPr>
          <w:rFonts w:hint="eastAsia" w:ascii="宋体" w:hAnsi="宋体" w:cs="宋体"/>
          <w:color w:val="auto"/>
          <w:highlight w:val="none"/>
          <w:lang w:eastAsia="zh-CN"/>
        </w:rPr>
        <w:t xml:space="preserve">1.本项目为货物采购，其中货物采购标的及对应的中小企业划分标准所属行业均为工业。</w:t>
      </w:r>
      <w:r/>
    </w:p>
    <w:p>
      <w:pPr>
        <w:pStyle w:val="912"/>
        <w:rPr>
          <w:color w:val="auto"/>
          <w:highlight w:val="none"/>
          <w:lang w:eastAsia="zh-CN"/>
        </w:rPr>
      </w:pPr>
      <w:r>
        <w:rPr>
          <w:color w:val="auto"/>
          <w:highlight w:val="none"/>
          <w:lang w:eastAsia="zh-CN"/>
        </w:rPr>
      </w:r>
      <w:r/>
    </w:p>
    <w:tbl>
      <w:tblPr>
        <w:tblStyle w:val="910"/>
        <w:tblW w:w="10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3475"/>
        <w:gridCol w:w="909"/>
        <w:gridCol w:w="909"/>
        <w:gridCol w:w="3937"/>
      </w:tblGrid>
      <w:tr>
        <w:trPr>
          <w:jc w:val="center"/>
          <w:trHeight w:val="468"/>
          <w:tblHeader/>
        </w:trPr>
        <w:tc>
          <w:tcPr>
            <w:tcW w:w="909" w:type="dxa"/>
            <w:vAlign w:val="center"/>
            <w:textDirection w:val="lrTb"/>
            <w:noWrap w:val="false"/>
          </w:tcPr>
          <w:p>
            <w:pPr>
              <w:pStyle w:val="970"/>
              <w:ind w:firstLine="0"/>
              <w:jc w:val="center"/>
              <w:spacing w:line="240" w:lineRule="auto"/>
              <w:widowControl/>
              <w:rPr>
                <w:rFonts w:ascii="宋体" w:hAnsi="宋体" w:cs="仿宋"/>
                <w:b/>
                <w:color w:val="auto"/>
                <w:sz w:val="24"/>
                <w:szCs w:val="24"/>
                <w:highlight w:val="none"/>
              </w:rPr>
            </w:pPr>
            <w:r>
              <w:rPr>
                <w:rFonts w:hint="eastAsia" w:ascii="宋体" w:hAnsi="宋体" w:cs="仿宋"/>
                <w:b/>
                <w:color w:val="auto"/>
                <w:sz w:val="24"/>
                <w:szCs w:val="24"/>
                <w:highlight w:val="none"/>
              </w:rPr>
              <w:t xml:space="preserve">序号</w:t>
            </w:r>
            <w:r/>
          </w:p>
        </w:tc>
        <w:tc>
          <w:tcPr>
            <w:tcW w:w="3475" w:type="dxa"/>
            <w:vAlign w:val="center"/>
            <w:textDirection w:val="lrTb"/>
            <w:noWrap w:val="false"/>
          </w:tcPr>
          <w:p>
            <w:pPr>
              <w:pStyle w:val="970"/>
              <w:ind w:firstLine="0"/>
              <w:jc w:val="center"/>
              <w:spacing w:line="240" w:lineRule="auto"/>
              <w:widowControl/>
              <w:rPr>
                <w:rFonts w:ascii="宋体" w:hAnsi="宋体" w:cs="仿宋"/>
                <w:b/>
                <w:color w:val="auto"/>
                <w:sz w:val="24"/>
                <w:szCs w:val="24"/>
                <w:highlight w:val="none"/>
              </w:rPr>
            </w:pPr>
            <w:r>
              <w:rPr>
                <w:rFonts w:hint="eastAsia" w:ascii="宋体" w:hAnsi="宋体" w:cs="仿宋"/>
                <w:b/>
                <w:color w:val="auto"/>
                <w:sz w:val="24"/>
                <w:szCs w:val="24"/>
                <w:highlight w:val="none"/>
              </w:rPr>
              <w:t xml:space="preserve">产品名称</w:t>
            </w:r>
            <w:r/>
          </w:p>
        </w:tc>
        <w:tc>
          <w:tcPr>
            <w:tcW w:w="909" w:type="dxa"/>
            <w:vAlign w:val="center"/>
            <w:textDirection w:val="lrTb"/>
            <w:noWrap w:val="false"/>
          </w:tcPr>
          <w:p>
            <w:pPr>
              <w:pStyle w:val="970"/>
              <w:ind w:firstLine="0"/>
              <w:jc w:val="center"/>
              <w:spacing w:line="240" w:lineRule="auto"/>
              <w:widowControl/>
              <w:rPr>
                <w:rFonts w:ascii="宋体" w:hAnsi="宋体" w:cs="仿宋"/>
                <w:b/>
                <w:color w:val="auto"/>
                <w:sz w:val="24"/>
                <w:szCs w:val="24"/>
                <w:highlight w:val="none"/>
              </w:rPr>
            </w:pPr>
            <w:r>
              <w:rPr>
                <w:rFonts w:hint="eastAsia" w:ascii="宋体" w:hAnsi="宋体" w:cs="仿宋"/>
                <w:b/>
                <w:color w:val="auto"/>
                <w:sz w:val="24"/>
                <w:szCs w:val="24"/>
                <w:highlight w:val="none"/>
              </w:rPr>
              <w:t xml:space="preserve">单位</w:t>
            </w:r>
            <w:r/>
          </w:p>
        </w:tc>
        <w:tc>
          <w:tcPr>
            <w:tcW w:w="909" w:type="dxa"/>
            <w:vAlign w:val="center"/>
            <w:textDirection w:val="lrTb"/>
            <w:noWrap w:val="false"/>
          </w:tcPr>
          <w:p>
            <w:pPr>
              <w:pStyle w:val="970"/>
              <w:ind w:firstLine="0"/>
              <w:jc w:val="center"/>
              <w:spacing w:line="240" w:lineRule="auto"/>
              <w:widowControl/>
              <w:rPr>
                <w:rFonts w:ascii="宋体" w:hAnsi="宋体" w:cs="仿宋"/>
                <w:b/>
                <w:color w:val="auto"/>
                <w:sz w:val="24"/>
                <w:szCs w:val="24"/>
                <w:highlight w:val="none"/>
              </w:rPr>
            </w:pPr>
            <w:r>
              <w:rPr>
                <w:rFonts w:hint="eastAsia" w:ascii="宋体" w:hAnsi="宋体" w:cs="仿宋"/>
                <w:b/>
                <w:color w:val="auto"/>
                <w:sz w:val="24"/>
                <w:szCs w:val="24"/>
                <w:highlight w:val="none"/>
              </w:rPr>
              <w:t xml:space="preserve">数量</w:t>
            </w:r>
            <w:r/>
          </w:p>
        </w:tc>
        <w:tc>
          <w:tcPr>
            <w:tcW w:w="3936" w:type="dxa"/>
            <w:vAlign w:val="center"/>
            <w:textDirection w:val="lrTb"/>
            <w:noWrap w:val="false"/>
          </w:tcPr>
          <w:p>
            <w:pPr>
              <w:pStyle w:val="970"/>
              <w:ind w:firstLine="0"/>
              <w:jc w:val="center"/>
              <w:spacing w:line="240" w:lineRule="auto"/>
              <w:widowControl/>
              <w:rPr>
                <w:rFonts w:ascii="宋体" w:hAnsi="宋体" w:cs="仿宋"/>
                <w:b/>
                <w:color w:val="auto"/>
                <w:sz w:val="24"/>
                <w:szCs w:val="24"/>
                <w:highlight w:val="none"/>
              </w:rPr>
            </w:pPr>
            <w:r>
              <w:rPr>
                <w:rFonts w:hint="eastAsia" w:ascii="宋体" w:hAnsi="宋体" w:cs="仿宋"/>
                <w:b/>
                <w:color w:val="auto"/>
                <w:sz w:val="24"/>
                <w:szCs w:val="24"/>
                <w:highlight w:val="none"/>
              </w:rPr>
              <w:t xml:space="preserve">备注</w:t>
            </w:r>
            <w:r/>
          </w:p>
        </w:tc>
      </w:tr>
      <w:tr>
        <w:trPr>
          <w:jc w:val="center"/>
          <w:trHeight w:val="451"/>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1</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立式加工中心</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台</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hint="eastAsia" w:ascii="宋体" w:hAnsi="宋体" w:cs="仿宋"/>
                <w:color w:val="auto"/>
                <w:szCs w:val="24"/>
                <w:highlight w:val="none"/>
              </w:rPr>
              <w:t xml:space="preserve">3</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w:t>
            </w:r>
            <w:r/>
          </w:p>
        </w:tc>
      </w:tr>
      <w:tr>
        <w:trPr>
          <w:jc w:val="center"/>
          <w:trHeight w:val="729"/>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2</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数字化立式加工中心</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台</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hint="eastAsia" w:ascii="宋体" w:hAnsi="宋体" w:cs="仿宋"/>
                <w:color w:val="auto"/>
                <w:szCs w:val="24"/>
                <w:highlight w:val="none"/>
              </w:rPr>
              <w:t xml:space="preserve">2</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含基础改造安装并配合智能制造系统使用</w:t>
            </w:r>
            <w:r/>
          </w:p>
        </w:tc>
      </w:tr>
      <w:tr>
        <w:trPr>
          <w:jc w:val="center"/>
          <w:trHeight w:val="518"/>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3</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精密数控电火花成型加工机</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台</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ascii="宋体" w:hAnsi="宋体" w:cs="仿宋"/>
                <w:color w:val="auto"/>
                <w:szCs w:val="24"/>
                <w:highlight w:val="none"/>
              </w:rPr>
              <w:t xml:space="preserve">1</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w:t>
            </w:r>
            <w:r/>
          </w:p>
        </w:tc>
      </w:tr>
      <w:tr>
        <w:trPr>
          <w:jc w:val="center"/>
          <w:trHeight w:val="501"/>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4</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平面磨床</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台</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ascii="宋体" w:hAnsi="宋体" w:cs="仿宋"/>
                <w:color w:val="auto"/>
                <w:szCs w:val="24"/>
                <w:highlight w:val="none"/>
              </w:rPr>
              <w:t xml:space="preserve">1</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w:t>
            </w:r>
            <w:r/>
          </w:p>
        </w:tc>
      </w:tr>
      <w:tr>
        <w:trPr>
          <w:jc w:val="center"/>
          <w:trHeight w:val="762"/>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5</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高精密数控中走丝线切割加工机</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台</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ascii="宋体" w:hAnsi="宋体" w:cs="仿宋"/>
                <w:color w:val="auto"/>
                <w:szCs w:val="24"/>
                <w:highlight w:val="none"/>
              </w:rPr>
              <w:t xml:space="preserve">1</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w:t>
            </w:r>
            <w:r/>
          </w:p>
        </w:tc>
      </w:tr>
      <w:tr>
        <w:trPr>
          <w:jc w:val="center"/>
          <w:trHeight w:val="90"/>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6</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手持激光焊焊接机</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台</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ascii="宋体" w:hAnsi="宋体" w:cs="仿宋"/>
                <w:color w:val="auto"/>
                <w:szCs w:val="24"/>
                <w:highlight w:val="none"/>
              </w:rPr>
              <w:t xml:space="preserve">5</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w:t>
            </w:r>
            <w:r/>
          </w:p>
        </w:tc>
      </w:tr>
      <w:tr>
        <w:trPr>
          <w:jc w:val="center"/>
          <w:trHeight w:val="584"/>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7</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CNC数智一体机</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台</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hint="eastAsia" w:ascii="宋体" w:hAnsi="宋体" w:cs="仿宋"/>
                <w:color w:val="auto"/>
                <w:szCs w:val="24"/>
                <w:highlight w:val="none"/>
              </w:rPr>
              <w:t xml:space="preserve">8</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w:t>
            </w:r>
            <w:r/>
          </w:p>
        </w:tc>
      </w:tr>
      <w:tr>
        <w:trPr>
          <w:jc w:val="center"/>
          <w:trHeight w:val="451"/>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8</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五轴数控一体机</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台</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hint="eastAsia" w:ascii="宋体" w:hAnsi="宋体" w:cs="仿宋"/>
                <w:color w:val="auto"/>
                <w:szCs w:val="24"/>
                <w:highlight w:val="none"/>
              </w:rPr>
              <w:t xml:space="preserve">2</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w:t>
            </w:r>
            <w:r/>
          </w:p>
        </w:tc>
      </w:tr>
      <w:tr>
        <w:trPr>
          <w:jc w:val="center"/>
          <w:trHeight w:val="491"/>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9</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空压站房</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套</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ascii="宋体" w:hAnsi="宋体" w:cs="仿宋"/>
                <w:color w:val="auto"/>
                <w:szCs w:val="24"/>
                <w:highlight w:val="none"/>
              </w:rPr>
              <w:t xml:space="preserve">1</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w:t>
            </w:r>
            <w:r/>
          </w:p>
        </w:tc>
      </w:tr>
      <w:tr>
        <w:trPr>
          <w:jc w:val="center"/>
          <w:trHeight w:val="528"/>
        </w:trPr>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10</w:t>
            </w:r>
            <w:r/>
          </w:p>
        </w:tc>
        <w:tc>
          <w:tcPr>
            <w:tcW w:w="3475"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航吊</w:t>
            </w:r>
            <w:r/>
          </w:p>
        </w:tc>
        <w:tc>
          <w:tcPr>
            <w:tcW w:w="909" w:type="dxa"/>
            <w:vAlign w:val="center"/>
            <w:textDirection w:val="lrTb"/>
            <w:noWrap w:val="false"/>
          </w:tcPr>
          <w:p>
            <w:pPr>
              <w:pStyle w:val="970"/>
              <w:ind w:firstLine="0"/>
              <w:jc w:val="center"/>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套</w:t>
            </w:r>
            <w:r/>
          </w:p>
        </w:tc>
        <w:tc>
          <w:tcPr>
            <w:tcW w:w="909" w:type="dxa"/>
            <w:vAlign w:val="center"/>
            <w:textDirection w:val="lrTb"/>
            <w:noWrap w:val="false"/>
          </w:tcPr>
          <w:p>
            <w:pPr>
              <w:ind w:firstLine="0"/>
              <w:jc w:val="center"/>
              <w:spacing w:line="240" w:lineRule="auto"/>
              <w:rPr>
                <w:rFonts w:ascii="宋体" w:hAnsi="宋体" w:cs="仿宋"/>
                <w:color w:val="auto"/>
                <w:szCs w:val="24"/>
                <w:highlight w:val="none"/>
              </w:rPr>
            </w:pPr>
            <w:r>
              <w:rPr>
                <w:rFonts w:ascii="宋体" w:hAnsi="宋体" w:cs="仿宋"/>
                <w:color w:val="auto"/>
                <w:szCs w:val="24"/>
                <w:highlight w:val="none"/>
              </w:rPr>
              <w:t xml:space="preserve">1</w:t>
            </w:r>
            <w:r/>
          </w:p>
        </w:tc>
        <w:tc>
          <w:tcPr>
            <w:tcW w:w="3936" w:type="dxa"/>
            <w:vAlign w:val="center"/>
            <w:textDirection w:val="lrTb"/>
            <w:noWrap w:val="false"/>
          </w:tcPr>
          <w:p>
            <w:pPr>
              <w:pStyle w:val="970"/>
              <w:ind w:firstLine="0"/>
              <w:jc w:val="left"/>
              <w:spacing w:line="240" w:lineRule="auto"/>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含基础改造安装</w:t>
            </w:r>
            <w:r/>
          </w:p>
        </w:tc>
      </w:tr>
    </w:tbl>
    <w:p>
      <w:pPr>
        <w:pStyle w:val="918"/>
        <w:ind w:firstLine="361"/>
        <w:rPr>
          <w:rFonts w:ascii="宋体" w:hAnsi="宋体" w:cs="宋体"/>
          <w:b/>
          <w:bCs/>
          <w:color w:val="auto"/>
          <w:highlight w:val="none"/>
          <w:lang w:eastAsia="zh-CN"/>
        </w:rPr>
      </w:pPr>
      <w:r>
        <w:rPr>
          <w:rFonts w:ascii="宋体" w:hAnsi="宋体" w:cs="宋体"/>
          <w:b/>
          <w:bCs/>
          <w:color w:val="auto"/>
          <w:highlight w:val="none"/>
          <w:lang w:eastAsia="zh-CN"/>
        </w:rPr>
      </w:r>
      <w:r/>
    </w:p>
    <w:p>
      <w:pPr>
        <w:ind w:firstLine="0"/>
        <w:spacing w:before="120"/>
        <w:rPr>
          <w:rFonts w:ascii="宋体" w:hAnsi="宋体" w:cs="Times New Roman"/>
          <w:b/>
          <w:bCs/>
          <w:color w:val="auto"/>
          <w:szCs w:val="24"/>
          <w:highlight w:val="none"/>
          <w:lang w:val="zh-CN" w:eastAsia="zh-CN"/>
        </w:rPr>
      </w:pPr>
      <w:r>
        <w:rPr>
          <w:rFonts w:hint="eastAsia" w:ascii="宋体" w:hAnsi="宋体" w:cs="宋体"/>
          <w:b/>
          <w:bCs/>
          <w:color w:val="auto"/>
          <w:szCs w:val="24"/>
          <w:highlight w:val="none"/>
          <w:lang w:eastAsia="zh-CN"/>
        </w:rPr>
        <w:t xml:space="preserve">2.清单内设备详细参数要求如下：</w:t>
      </w:r>
      <w:r/>
    </w:p>
    <w:tbl>
      <w:tblPr>
        <w:tblStyle w:val="910"/>
        <w:tblW w:w="10138" w:type="dxa"/>
        <w:jc w:val="center"/>
        <w:tblLayout w:type="autofit"/>
        <w:tblCellMar>
          <w:left w:w="108" w:type="dxa"/>
          <w:top w:w="0" w:type="dxa"/>
          <w:right w:w="108" w:type="dxa"/>
          <w:bottom w:w="0" w:type="dxa"/>
        </w:tblCellMar>
        <w:tblLook w:val="04A0" w:firstRow="1" w:lastRow="0" w:firstColumn="1" w:lastColumn="0" w:noHBand="0" w:noVBand="1"/>
      </w:tblPr>
      <w:tblGrid>
        <w:gridCol w:w="894"/>
        <w:gridCol w:w="1203"/>
        <w:gridCol w:w="8041"/>
      </w:tblGrid>
      <w:tr>
        <w:trPr>
          <w:jc w:val="center"/>
          <w:trHeight w:val="508"/>
          <w:tblHeader/>
        </w:trPr>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firstLine="0"/>
              <w:jc w:val="center"/>
              <w:spacing w:line="240" w:lineRule="auto"/>
              <w:rPr>
                <w:rFonts w:ascii="宋体" w:hAnsi="宋体" w:cs="宋体"/>
                <w:b/>
                <w:bCs/>
                <w:color w:val="auto"/>
                <w:sz w:val="21"/>
                <w:highlight w:val="none"/>
              </w:rPr>
            </w:pPr>
            <w:r>
              <w:rPr>
                <w:rFonts w:hint="eastAsia" w:ascii="宋体" w:hAnsi="宋体" w:cs="宋体"/>
                <w:b/>
                <w:bCs/>
                <w:color w:val="auto"/>
                <w:sz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03" w:type="dxa"/>
            <w:vAlign w:val="center"/>
            <w:textDirection w:val="lrTb"/>
            <w:noWrap w:val="false"/>
          </w:tcPr>
          <w:p>
            <w:pPr>
              <w:ind w:firstLine="0"/>
              <w:jc w:val="center"/>
              <w:spacing w:line="240" w:lineRule="auto"/>
              <w:rPr>
                <w:rFonts w:ascii="宋体" w:hAnsi="宋体" w:cs="宋体"/>
                <w:b/>
                <w:bCs/>
                <w:color w:val="auto"/>
                <w:sz w:val="21"/>
                <w:highlight w:val="none"/>
              </w:rPr>
            </w:pPr>
            <w:r>
              <w:rPr>
                <w:rFonts w:hint="eastAsia" w:ascii="宋体" w:hAnsi="宋体" w:cs="宋体"/>
                <w:b/>
                <w:bCs/>
                <w:color w:val="auto"/>
                <w:sz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8041" w:type="dxa"/>
            <w:vAlign w:val="center"/>
            <w:textDirection w:val="lrTb"/>
            <w:noWrap w:val="false"/>
          </w:tcPr>
          <w:p>
            <w:pPr>
              <w:ind w:firstLine="0"/>
              <w:jc w:val="center"/>
              <w:spacing w:line="240" w:lineRule="auto"/>
              <w:rPr>
                <w:rFonts w:ascii="宋体" w:hAnsi="宋体" w:cs="宋体"/>
                <w:b/>
                <w:bCs/>
                <w:color w:val="auto"/>
                <w:sz w:val="21"/>
                <w:highlight w:val="none"/>
              </w:rPr>
            </w:pPr>
            <w:r>
              <w:rPr>
                <w:rFonts w:hint="eastAsia" w:ascii="宋体" w:hAnsi="宋体" w:cs="宋体"/>
                <w:b/>
                <w:bCs/>
                <w:color w:val="auto"/>
                <w:sz w:val="21"/>
                <w:highlight w:val="none"/>
              </w:rPr>
              <w:t xml:space="preserve">技术指标</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1</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立式加工中心</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1、设备技术描述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1.1、立式加工中心机床，采用机电一体化设计，可进行精密切削。工件一次装夹后机床可以自动连续地完成铣、钻、镗、扩、铰、锪、攻丝等多种工序的加工。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1.2、适用于中、小型箱体类、板类、盘类、壳体类等复杂零件的多品种加工，广泛应用于汽车零部件、阀门、工程机械、IT 设备、光学设备、医疗设备及航空航天等行业。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1.3、整  机：机床采用立柱固定，十字滑台移动结构。X、Y、Z 轴采用直线滚动导轨，整机具 有高刚性、高稳定性和高可靠性。大流量全封闭防护造型美观，操作、维修方便。</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1.4、主轴箱：采用高速主轴单元，主轴锥孔 BT40 规格，具备中心吹气功能。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▲1.5、刀  库：刀库采用圆盘式刀库，质量可靠，性能稳定。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▲1.6、驱  动：三轴电机与高精度滚珠丝杠采用直联驱动的方式，滚珠丝杠经过预拉伸安装， 提高传动刚性及定位精度。三个直线坐标轴均采用直线滚动导轨，机床高速进给时振动小，低速进给时无爬行。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1.7、机床所有零部件加工、装配成品质量符合产品图纸及相关技术要求，其安全标准符合 GB15760-2004 《金属切削机床安全防护通用技术条件》的有关规定，其精度标准符合 GB/T17421-2000《机床检验通则》及 JB/T8771－1998《加工中心检验条件》的有关规定。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2、技术参数：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2.1、三轴行程（X/Y/Z）不小于850mm/540mm/520mm；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2.2、主轴鼻端至工作台面距离：不小于125~645mm；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2.3、工作台尺寸（长×宽）：不小于1000mm×500mm；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2.4、最大承载：550kg；</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2.5、T 型槽（槽数×槽宽×间距）：不小于5×18×100；</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2.6主轴转速：不小于12000rpm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2.7、主轴直径/锥孔：</w:t>
            </w:r>
            <w:r>
              <w:rPr>
                <w:rFonts w:hint="eastAsia" w:ascii="宋体" w:hAnsi="宋体" w:cs="宋体"/>
                <w:color w:val="auto"/>
                <w:sz w:val="21"/>
                <w:highlight w:val="none"/>
              </w:rPr>
              <w:t xml:space="preserve">Φ</w:t>
            </w:r>
            <w:r>
              <w:rPr>
                <w:rFonts w:hint="eastAsia" w:ascii="宋体" w:hAnsi="宋体" w:cs="宋体"/>
                <w:color w:val="auto"/>
                <w:sz w:val="21"/>
                <w:highlight w:val="none"/>
                <w:lang w:eastAsia="zh-CN"/>
              </w:rPr>
              <w:t xml:space="preserve">150/BT40；</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▲2.8、主轴电机功率：不小于7.5/11 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2.9、快速移动速度（X/Y/Z 轴）：48/48/48m/min；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2.10、切削进给速度：不小于10/10/10m/min；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2.11、刀具数量：不少于24把刀具（刀柄，刀具、筒夹）、含备品；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2.12、刀具最大直径/长度/重量：</w:t>
            </w:r>
            <w:r>
              <w:rPr>
                <w:rFonts w:hint="eastAsia" w:ascii="宋体" w:hAnsi="宋体" w:cs="宋体"/>
                <w:color w:val="auto"/>
                <w:sz w:val="21"/>
                <w:highlight w:val="none"/>
              </w:rPr>
              <w:t xml:space="preserve">Φ</w:t>
            </w:r>
            <w:r>
              <w:rPr>
                <w:rFonts w:hint="eastAsia" w:ascii="宋体" w:hAnsi="宋体" w:cs="宋体"/>
                <w:color w:val="auto"/>
                <w:sz w:val="21"/>
                <w:highlight w:val="none"/>
                <w:lang w:eastAsia="zh-CN"/>
              </w:rPr>
              <w:t xml:space="preserve">75mm/300mm/7kg；</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2.13、刀具最大直径（放满刀/邻空刀）75/150mm；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2.14、刀具交换时间（刀-刀）：1.8s；</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2.15、定位精度（X/Y/Z）：不低于0.008mm；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2.16、重复定位精度（X/Y/Z）：不低于0.005mm；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2.17、气源/气压：280L/min  6~8bar；</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2.18、机床电气总容量：不低于20KVA；</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2.19、水箱容积：不小于400L；</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2.20、机床外形尺寸（X×Y×Z）：不小于2500×2700×2730mm；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2.21、工装夹具：根据加工产品工艺要求，提供相应的工装夹具；</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2.22、油品、含备品，满足机器正常使用；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3、机床主要部件要求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 数控系统要求如下：</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 支持三轴加工控制，控制轴数≥3 轴，联动轴数≥3 轴；</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3.1.2 具备直线插补、圆弧插补功能；</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3.1.3 支持反向间隙补偿、螺距误差补偿、工件坐标系设定、刀尖半径补偿功能；</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3.1.4 配置快速运行倍率功能，内置可编程控制器；配备手持电子手轮进给，支持 ×1、×10、×100 三档倍率，可实现 4 轴倍率切换；</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3.1.5 配置智能开关，人机界面布局合理，操作便捷；</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3.1.6 采用高速控制器，支持纳米级精密运算，程序存储容量≥2M，具备高速高精度加工模式；</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3.1.7 支持以太网、可编辑存储卡高速数据传输；配置 USB 存储接口，方便加工程序及 CNC 参数信息读写存取；</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3.1.8 具备智能主轴负载控制功能，可根据主轴负载、主轴温度自动调节进给速度；</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3.1.9 可自动优化切削进给、快速移动的加减速时间常数；</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3.1.10 支持加工轨迹拟合，提升零件加工表面质量；</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3.1.11 无需手动设定主轴时间常数，主轴可按最大输出功率完成加速响应；</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3.1.12 具备非加工路径优化功能，提升空运行效率；</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3.1.13 主轴过热报警状态下，可智能优化分配主轴输出能力，保障设备运行安全。</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3.1.14 数控系统参考品牌：发那科、三菱、西门子或同等及以上品质档次的一线数控系统；</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3.2、刀库：圆盘式刀库；刀库容量≥24把；单把最大刀具重量≥8kg。</w:t>
            </w:r>
            <w:r>
              <w:rPr>
                <w:rFonts w:hint="eastAsia" w:ascii="宋体" w:hAnsi="宋体" w:cs="宋体"/>
                <w:color w:val="auto"/>
                <w:sz w:val="21"/>
                <w:highlight w:val="none"/>
                <w:lang w:eastAsia="zh-CN"/>
              </w:rPr>
              <w:t xml:space="preserve">参考品牌：冈田、北钜、德速，或同等及以上品质档次；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3.3、主轴：采用直联式主轴结构，配置自动拉松刀装置。</w:t>
            </w:r>
            <w:r>
              <w:rPr>
                <w:rFonts w:hint="eastAsia" w:ascii="宋体" w:hAnsi="宋体" w:cs="宋体"/>
                <w:color w:val="auto"/>
                <w:sz w:val="21"/>
                <w:highlight w:val="none"/>
                <w:lang w:eastAsia="zh-CN"/>
              </w:rPr>
              <w:t xml:space="preserve">参考品牌：爱贝科、昊志、</w:t>
            </w:r>
            <w:r>
              <w:rPr>
                <w:rFonts w:ascii="宋体" w:hAnsi="宋体" w:cs="宋体"/>
                <w:color w:val="auto"/>
                <w:sz w:val="21"/>
                <w:highlight w:val="none"/>
                <w:lang w:eastAsia="zh-CN"/>
              </w:rPr>
              <w:t xml:space="preserve">健春</w:t>
            </w:r>
            <w:r>
              <w:rPr>
                <w:rFonts w:hint="eastAsia" w:ascii="宋体" w:hAnsi="宋体" w:cs="宋体"/>
                <w:color w:val="auto"/>
                <w:sz w:val="21"/>
                <w:highlight w:val="none"/>
                <w:lang w:eastAsia="zh-CN"/>
              </w:rPr>
              <w:t xml:space="preserve">，或同等及以上品质档次；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3.4、滚珠丝杠：C3级。</w:t>
            </w:r>
            <w:r>
              <w:rPr>
                <w:rFonts w:hint="eastAsia" w:ascii="宋体" w:hAnsi="宋体" w:cs="宋体"/>
                <w:color w:val="auto"/>
                <w:sz w:val="21"/>
                <w:highlight w:val="none"/>
                <w:lang w:eastAsia="zh-CN"/>
              </w:rPr>
              <w:t xml:space="preserve">参考品牌：上银、银泰、THK，或同等及以上品质档次；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3.5、直线滚动导轨：P级；</w:t>
            </w:r>
            <w:r>
              <w:rPr>
                <w:rFonts w:hint="eastAsia" w:ascii="宋体" w:hAnsi="宋体" w:cs="宋体"/>
                <w:color w:val="auto"/>
                <w:sz w:val="21"/>
                <w:highlight w:val="none"/>
                <w:lang w:eastAsia="zh-CN"/>
              </w:rPr>
              <w:t xml:space="preserve">参考品牌：上银、银泰、THK，或同等及以上品质档次；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3.6、丝杠轴承：角接触轴承，P4等级。</w:t>
            </w:r>
            <w:r>
              <w:rPr>
                <w:rFonts w:hint="eastAsia" w:ascii="宋体" w:hAnsi="宋体" w:cs="宋体"/>
                <w:color w:val="auto"/>
                <w:sz w:val="21"/>
                <w:highlight w:val="none"/>
                <w:lang w:eastAsia="zh-CN"/>
              </w:rPr>
              <w:t xml:space="preserve">参考品牌 NSK、NACHI、NTN，或同等及以上品质档次；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3.7、润滑油泵：机床所有需润滑的运动部件均配置对应的润滑供油装置；系统具备可靠防尘防护措施，保障各润滑点润滑充分、运行安全可靠；装置维修维护便捷，注油、换油操作方便，无润滑油泄漏现象。</w:t>
            </w:r>
            <w:r>
              <w:rPr>
                <w:rFonts w:hint="eastAsia" w:ascii="宋体" w:hAnsi="宋体" w:cs="宋体"/>
                <w:color w:val="auto"/>
                <w:sz w:val="21"/>
                <w:highlight w:val="none"/>
                <w:lang w:eastAsia="zh-CN"/>
              </w:rPr>
              <w:t xml:space="preserve">参考品牌：宝腾、河谷、弘阳，或同等及以上品质档次；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3.8、主要气动元件：机床主要气动元件采用国内外知名品牌产品，保障整机运行安全与工作可靠性。</w:t>
            </w:r>
            <w:r>
              <w:rPr>
                <w:rFonts w:hint="eastAsia" w:ascii="宋体" w:hAnsi="宋体" w:cs="宋体"/>
                <w:color w:val="auto"/>
                <w:sz w:val="21"/>
                <w:highlight w:val="none"/>
                <w:lang w:eastAsia="zh-CN"/>
              </w:rPr>
              <w:t xml:space="preserve">参考品牌：SMC、亚德客，或同等及以上品质档次；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3.9、主要电气元件：机床主要电气元件采用国内外知名品牌产品，保障整机运行安全与工作可靠性。</w:t>
            </w:r>
            <w:r>
              <w:rPr>
                <w:rFonts w:hint="eastAsia" w:ascii="宋体" w:hAnsi="宋体" w:cs="宋体"/>
                <w:color w:val="auto"/>
                <w:sz w:val="21"/>
                <w:highlight w:val="none"/>
                <w:lang w:eastAsia="zh-CN"/>
              </w:rPr>
              <w:t xml:space="preserve">参考品牌：施耐德、欧姆龙、ABB，或同等及以上品质档次；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▲3.10、机床采用HT300铸件；</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rPr>
              <w:t xml:space="preserve">3.11、机床整体重量：不小于4.9T</w:t>
            </w:r>
            <w:r>
              <w:rPr>
                <w:rFonts w:hint="eastAsia" w:ascii="宋体" w:hAnsi="宋体" w:cs="宋体"/>
                <w:color w:val="auto"/>
                <w:sz w:val="21"/>
                <w:highlight w:val="none"/>
                <w:lang w:eastAsia="zh-CN"/>
              </w:rPr>
              <w:t xml:space="preserve">；</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4、技术服务要求，内容不少于以下: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4.1、提供不少于10天的课程培训；</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4.2、针对“新机床培训课程”，机床厂家提供课程体系主要围绕数控机床（CNC）展开，培养学员从基础操作到高级编程的全链路技能；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4.3、基础操作与安全课程内容涵盖如下：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4.3.1、机床结构认知、安全规程、面板操作、工件装夹、对刀、量具使用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4.3.2、机床认知：了解数控机床的分类（车床、铣床、加工中心）、结构组成及工作原理。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4.3.3、安全规范：学习人身安全、设备安全及工件安全守则，掌握紧急情况处理流程。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4.3.4、面板操作：熟悉操作面板（如FANUC、西门子等系统）的按键功能，进行开机、回零、模式切换等操作。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4.3.5、工装夹具：学习使用虎钳、卡盘、压板等工具进行工件装夹与校正。</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4.3.6、对刀与测量：掌握对刀仪、分中棒的使用，以及游标卡尺、千分尺等量具的读数方法。</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4.4、编程与工艺课程内容涵盖如下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4.4.1、G代码/M代码、手工编程、CAM软件（UG/Mastercam等）、加工工艺、参数优化</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4.4.2、手工编程：学习G代码（准备功能）和M代码（辅助功能），能够编写简单的直线、圆弧、钻孔等程序，并理解刀具补偿、坐标系设定等原理。</w:t>
            </w:r>
            <w:r>
              <w:rPr>
                <w:rFonts w:hint="eastAsia" w:ascii="宋体" w:hAnsi="宋体" w:cs="宋体"/>
                <w:color w:val="auto"/>
                <w:sz w:val="21"/>
                <w:highlight w:val="none"/>
                <w:lang w:eastAsia="zh-CN"/>
              </w:rPr>
              <w:br/>
            </w:r>
            <w:r>
              <w:rPr>
                <w:rFonts w:hint="eastAsia" w:ascii="宋体" w:hAnsi="宋体" w:cs="宋体"/>
                <w:color w:val="auto"/>
                <w:sz w:val="21"/>
                <w:highlight w:val="none"/>
              </w:rPr>
              <w:t xml:space="preserve">4.4.3、CAM软件编程：学习主流软件（如UG/NX、Mastercam、PowerMill）进行2D/3D建模、刀路生成、后处理及程序传输。</w:t>
            </w:r>
            <w:r>
              <w:rPr>
                <w:rFonts w:hint="eastAsia" w:ascii="宋体" w:hAnsi="宋体" w:cs="宋体"/>
                <w:color w:val="auto"/>
                <w:sz w:val="21"/>
                <w:highlight w:val="none"/>
              </w:rPr>
              <w:br/>
            </w:r>
            <w:r>
              <w:rPr>
                <w:rFonts w:hint="eastAsia" w:ascii="宋体" w:hAnsi="宋体" w:cs="宋体"/>
                <w:color w:val="auto"/>
                <w:sz w:val="21"/>
                <w:highlight w:val="none"/>
                <w:lang w:eastAsia="zh-CN"/>
              </w:rPr>
              <w:t xml:space="preserve">4.4.4、加工工艺：学习切削参数（转速、进给量）的优化，以及针对不同材料（钢、铝、铸铁）的刀具选择策略。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4.5、专项与高级技术课程内容涵盖如下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4.5.1、多轴（四轴/五轴）编程、车铣复合、宏程序、模具设计、设备维护</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4.5.2、多轴加工：学习四轴、五轴联动编程技术，解决复杂曲面、叶轮等零件的加工难题。</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4.5.3、车铣复合：学习车铣复合机床的操作与编程，实现一次装夹完成多道工序。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4.5.4、宏程序：学习利用宏程序进行参数化编程，处理椭圆、抛物线等非圆曲线加工。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4.5.5、模具设计：结合模具结构知识，进行模流分析、电极设计等专项训练。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设备落地部署要求：按要求完成现场使用部署，含机器吊装，落地，地坪处理，固定等，包含强弱电改造，电源适配器，线材线缆桥架安装，主线采用20平方电缆（约20米），支线约20米6平方电线电缆，辅材配件。</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2</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数字化立式加工中心</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▲一、要求概述：为配合教学实践要求，数字化立式加工中心要求在普通立式加工中心基础上进行数字化改造，现场对接智能制造系统。（投标供应商提供承诺函。）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二、系统组成包含：加工中心，夹具，刀具，换刀工具，激光对刀仪，开机必备易耗品，全套产品加工程序，与PLC控制器对接信号，OPC UA数据采集软件及加工中心标准周边品。</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1、提供正面自动门，气动门用于防止机床加工时切削液、废料飞溅对人员造成伤害，同时方便与机器人系统协作，实现机床的加工自动化，提高加工效率。</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2、气动门两边增加液压缓冲器，减少气动门开合过程中碰撞机体产生的噪音；</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3、气动门滑动采用线性滑轨，开合顺畅平稳、噪音小。</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4、气动门的开口尺寸和行程大小需保证机械臂能正常取放产品。</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5、根据产品外形和生产工艺，机床内部需设置自动工装夹具，夹具需要实现加工过程中从毛坯到半成品到成品所有工序段零件的夹持；</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6、机床提供方需要根据产品对机床夹具进行设计或改造，并实现如上功能，机床及夹具最终图纸需统一做机械臂抓取动作模拟，避免干涉；</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机床提供方需增加机床夹具所需电气接口，包括但不限于夹具夹紧和松开、夹具清洁、夹具气密性检测等功能所需的电磁阀和IO点；机床提供方需要再至少提供4组气路接口，目的是实现以上功能。机床提供方需要提供足够IO点实现以上功能</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8、机床提供方根据产品加工需要，增加对应的刀具，要求实现加工过程中自动换刀；根据加工过程中刀具使用的频率和机床整体刀库的容量对频繁使用的刀具做合理数量的备件；</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9、根据要求定制数据采集信号数量及种类，确保机床并入mes及数字孪生系统中；</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10、根据要求，需要提供设备开发程序包；</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三、硬件参数要求：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1、设备技术描述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1.1、立式加工中心机床，采用机电一体化设计，可进行精密切削。工件一次装夹后机床可以自动连续地完成铣、钻、镗、扩、铰、锪、攻丝等多种工序的加工。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1.2、适用于中、小型箱体类、板类、盘类、壳体类等复杂零件的多品种加工，广泛应用于汽车零部件、阀门、工程机械、IT 设备、光学设备、医疗设备及航空航天等行业。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1.3、整  机：机床采用立柱固定，十字滑台移动结构。X、Y、Z 轴采用直线滚动导轨，整机具 有高刚性、高稳定性和高可靠性。大流量全封闭防护造型美观，操作、维修方便。</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1.4、主轴箱：采用高速主轴单元，主轴锥孔 BT40 规格，具备中心吹气功能。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1.5、刀  库：刀库采用圆盘式刀库，质量可靠，性能稳定。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1.6、驱  动：三轴电机与高精度滚珠丝杠采用直联驱动的方式，滚珠丝杠经过预拉伸安装， 提高传动刚性及定位精度。三个直线坐标轴均采用直线滚动导轨，机床高速进 给时震动小，低速进给时无爬行。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1.7、技术要求，其安全标准符合 GB15760-2004 《金属切削机床安全防护通用技术条件》的有关规定，其精度标准符合 GB/T17421-2000《机床检验通则》及 JB/T8771－1998《加工中心检验条件》的有关规定。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2、技术参数：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2.1三轴行程（X/Y/Z）不小于850mm/540mm/520mm；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2.2主轴鼻端至工作台面距离：不小于125~645mm；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2.3、工作台尺寸（长×宽）：不小于1000mm×500mm；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2.4、最大承载：550kg；</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2.5、T 型槽（槽数×槽宽×间距）：不小于5×18×100；</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2.6主轴转速：不小于12000rpm；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2.7、主轴直径/锥孔：</w:t>
            </w:r>
            <w:r>
              <w:rPr>
                <w:rFonts w:hint="eastAsia" w:ascii="宋体" w:hAnsi="宋体" w:cs="宋体"/>
                <w:color w:val="auto"/>
                <w:sz w:val="21"/>
                <w:highlight w:val="none"/>
              </w:rPr>
              <w:t xml:space="preserve">Φ</w:t>
            </w:r>
            <w:r>
              <w:rPr>
                <w:rFonts w:hint="eastAsia" w:ascii="宋体" w:hAnsi="宋体" w:cs="宋体"/>
                <w:color w:val="auto"/>
                <w:sz w:val="21"/>
                <w:highlight w:val="none"/>
                <w:lang w:eastAsia="zh-CN"/>
              </w:rPr>
              <w:t xml:space="preserve">150/BT40；</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2.8、主轴电机功率：不小于7.5/11 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2.9、快速移动速度（X/Y/Z 轴）：48/48/48m/min；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2.10、切削进给速度：不小于10/10/10m/min；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2.11、刀具数量：不少于24把刀具（刀柄，刀具、筒夹）、含备品；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2.12、刀具最大直径/长度/重量：</w:t>
            </w:r>
            <w:r>
              <w:rPr>
                <w:rFonts w:hint="eastAsia" w:ascii="宋体" w:hAnsi="宋体" w:cs="宋体"/>
                <w:color w:val="auto"/>
                <w:sz w:val="21"/>
                <w:highlight w:val="none"/>
              </w:rPr>
              <w:t xml:space="preserve">Φ</w:t>
            </w:r>
            <w:r>
              <w:rPr>
                <w:rFonts w:hint="eastAsia" w:ascii="宋体" w:hAnsi="宋体" w:cs="宋体"/>
                <w:color w:val="auto"/>
                <w:sz w:val="21"/>
                <w:highlight w:val="none"/>
                <w:lang w:eastAsia="zh-CN"/>
              </w:rPr>
              <w:t xml:space="preserve">75mm/300mm/7kg；</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2.13、刀具最大直径（放满刀/邻空刀）75/150mm；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2.14、刀具交换时间（刀-刀）：1.8s；</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2.15、定位精度（X/Y/Z）：不低于0.008mm；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2.16、重复定位精度（X/Y/Z）：不低于0.005mm；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2.17、气源/气压：280L/min  6~8bar；</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2.18、机床电气总容量：不低于20KVA；</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2.19、水箱容积：不小于400L；</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2.20、机床外形尺寸（X×Y×Z）：不小于2500×2700×2730mm；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2.21、国产对刀仪：激光技术；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2.22、开放数据采集通讯接口，完成MES系统对接；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2.23、自动门：对原有机舱门进行改造，按系统信号要求，自动完成开关门；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2.24、自动排屑器：链式后排排屑器；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2.25、工装夹具：根据加工产品工艺要求，提供相应的工装夹具；</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2.26、油品以及含备品；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3、机床主要部件要求：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 数控系统要求如下：</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 支持三轴加工控制，控制轴数≥3 轴，联动轴数≥3 轴；</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3.1.2 具备直线插补、圆弧插补功能；</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3.1.3 支持反向间隙补偿、螺距误差补偿、工件坐标系设定、刀尖半径补偿功能；</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3.1.4 配置快速运行倍率功能，内置可编程控制器；配备手持电子手轮进给，支持 ×1、×10、×100 三档倍率，可实现 4 轴倍率切换；</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3.1.5 配置智能开关，人机界面布局合理，操作便捷；</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3.1.6 采用高速控制器，支持纳米级精密运算，程序存储容量≥2M，具备高速高精度加工模式；</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3.1.7 支持以太网、可编辑存储卡高速数据传输；配置 USB 存储接口，方便加工程序及 CNC 参数信息读写存取；</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3.1.8 具备智能主轴负载控制功能，可根据主轴负载、主轴温度自动调节进给速度；</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3.1.9 可自动优化切削进给、快速移动的加减速时间常数；</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3.1.10 支持加工轨迹拟合，提升零件加工表面质量；</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3.1.11 无需手动设定主轴时间常数，主轴可按最大输出功率完成加速响应；</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3.1.12 具备非加工路径优化功能，提升空运行效率；</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3.1.13 主轴过热报警状态下，可智能优化分配主轴输出能力，保障设备运行安全。</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3.1.14 数控系统参考品牌：发那科、三菱、西门子或同等及以上品质档次的一线数控系统；</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3.2、刀库：圆盘式刀库；刀库容量≥24把；单把最大刀具重量≥8kg。</w:t>
            </w:r>
            <w:r>
              <w:rPr>
                <w:rFonts w:hint="eastAsia" w:ascii="宋体" w:hAnsi="宋体" w:cs="宋体"/>
                <w:color w:val="auto"/>
                <w:sz w:val="21"/>
                <w:highlight w:val="none"/>
                <w:lang w:eastAsia="zh-CN"/>
              </w:rPr>
              <w:t xml:space="preserve">参考品牌：冈田、北钜、德速，或同等及以上品质档次；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3.3、主轴：采用直联式主轴结构，配置自动拉松刀装置。</w:t>
            </w:r>
            <w:r>
              <w:rPr>
                <w:rFonts w:hint="eastAsia" w:ascii="宋体" w:hAnsi="宋体" w:cs="宋体"/>
                <w:color w:val="auto"/>
                <w:sz w:val="21"/>
                <w:highlight w:val="none"/>
                <w:lang w:eastAsia="zh-CN"/>
              </w:rPr>
              <w:t xml:space="preserve">参考品牌：爱贝科、昊志、</w:t>
            </w:r>
            <w:r>
              <w:rPr>
                <w:rFonts w:ascii="宋体" w:hAnsi="宋体" w:cs="宋体"/>
                <w:color w:val="auto"/>
                <w:sz w:val="21"/>
                <w:highlight w:val="none"/>
                <w:lang w:eastAsia="zh-CN"/>
              </w:rPr>
              <w:t xml:space="preserve">健春</w:t>
            </w:r>
            <w:r>
              <w:rPr>
                <w:rFonts w:hint="eastAsia" w:ascii="宋体" w:hAnsi="宋体" w:cs="宋体"/>
                <w:color w:val="auto"/>
                <w:sz w:val="21"/>
                <w:highlight w:val="none"/>
                <w:lang w:eastAsia="zh-CN"/>
              </w:rPr>
              <w:t xml:space="preserve">，或同等及以上品质档次；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3.4、滚珠丝杠：C3级。</w:t>
            </w:r>
            <w:r>
              <w:rPr>
                <w:rFonts w:hint="eastAsia" w:ascii="宋体" w:hAnsi="宋体" w:cs="宋体"/>
                <w:color w:val="auto"/>
                <w:sz w:val="21"/>
                <w:highlight w:val="none"/>
                <w:lang w:eastAsia="zh-CN"/>
              </w:rPr>
              <w:t xml:space="preserve">参考品牌：上银、银泰、THK，或同等及以上品质档次；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3.5、直线滚动导轨：P级；</w:t>
            </w:r>
            <w:r>
              <w:rPr>
                <w:rFonts w:hint="eastAsia" w:ascii="宋体" w:hAnsi="宋体" w:cs="宋体"/>
                <w:color w:val="auto"/>
                <w:sz w:val="21"/>
                <w:highlight w:val="none"/>
                <w:lang w:eastAsia="zh-CN"/>
              </w:rPr>
              <w:t xml:space="preserve">参考品牌：上银、银泰、THK，或同等及以上品质档次；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3.6、丝杠轴承：角接触轴承，P4等级。</w:t>
            </w:r>
            <w:r>
              <w:rPr>
                <w:rFonts w:hint="eastAsia" w:ascii="宋体" w:hAnsi="宋体" w:cs="宋体"/>
                <w:color w:val="auto"/>
                <w:sz w:val="21"/>
                <w:highlight w:val="none"/>
                <w:lang w:eastAsia="zh-CN"/>
              </w:rPr>
              <w:t xml:space="preserve">参考品牌 NSK、NACHI、NTN，或同等及以上品质档次；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3.7、润滑油泵：机床所有需润滑的运动部件均配置对应的润滑供油装置；系统具备可靠防尘防护措施，保障各润滑点润滑充分、运行安全可靠；装置维修维护便捷，注油、换油操作方便，无润滑油泄漏现象。</w:t>
            </w:r>
            <w:r>
              <w:rPr>
                <w:rFonts w:hint="eastAsia" w:ascii="宋体" w:hAnsi="宋体" w:cs="宋体"/>
                <w:color w:val="auto"/>
                <w:sz w:val="21"/>
                <w:highlight w:val="none"/>
                <w:lang w:eastAsia="zh-CN"/>
              </w:rPr>
              <w:t xml:space="preserve">参考品牌：宝腾、河谷、弘阳，或同等及以上品质档次；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3.8、主要气动元件：机床主要气动元件采用国内外知名品牌产品，保障整机运行安全与工作可靠性。</w:t>
            </w:r>
            <w:r>
              <w:rPr>
                <w:rFonts w:hint="eastAsia" w:ascii="宋体" w:hAnsi="宋体" w:cs="宋体"/>
                <w:color w:val="auto"/>
                <w:sz w:val="21"/>
                <w:highlight w:val="none"/>
                <w:lang w:eastAsia="zh-CN"/>
              </w:rPr>
              <w:t xml:space="preserve">参考品牌：SMC、亚德客，或同等及以上品质档次；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3.9、主要电气元件：机床主要电气元件采用国内外知名品牌产品，保障整机运行安全与工作可靠性。</w:t>
            </w:r>
            <w:r>
              <w:rPr>
                <w:rFonts w:hint="eastAsia" w:ascii="宋体" w:hAnsi="宋体" w:cs="宋体"/>
                <w:color w:val="auto"/>
                <w:sz w:val="21"/>
                <w:highlight w:val="none"/>
                <w:lang w:eastAsia="zh-CN"/>
              </w:rPr>
              <w:t xml:space="preserve">参考品牌：施耐德、欧姆龙、ABB，或同等及以上品质档次；</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3.10、机床采用HT300铸件；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3.11、机床整体重量：约4.9T。</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四、特别要求说明：</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 完成设备安装、调试；按要求完成现场使用部署，包含强弱电改造，电源适配器，线材线缆桥架安装，主线采用15平方电缆（约10米），支线约20米6平方电线电缆，辅材配件；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 根据要求完成所需产品的数控加工编程；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 提供与上下料机器人通信接口信号；（投标供应商根据以下详细要求，提供数据对接承诺函）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（1）上下料机器人与机床通过PROFINET 进行通信，机床是PRO</w:t>
            </w:r>
            <w:r>
              <w:rPr>
                <w:rFonts w:hint="eastAsia" w:ascii="宋体" w:hAnsi="宋体" w:cs="宋体"/>
                <w:color w:val="auto"/>
                <w:sz w:val="21"/>
                <w:highlight w:val="none"/>
                <w:lang w:eastAsia="zh-CN"/>
              </w:rPr>
              <w:t xml:space="preserve">FINET设备。PROFINET 通信信号包括：机床准备就绪信号（Ready）或者机床请求上料信号（Request feeding）、开门与关门信号（Open door/ Close door）、夹具打开与关闭信号（Clamp open / Clamp close）、机床加工完成信号（Finished）、机床故障信号（Error）、开门到位信号与关门到位信号（Door opened / Door closed）、夹具打开到位信号与夹具关闭到位信号（Clamp opened / Clamp closed）等；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（2）要求机床操作面与机器人上下料不在同一个面（特定标机另行讨论），即机床上下料从侧面门进出，采用侧面自动门；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（3）采用激光对刀仪，在换刀时实现自动对刀，并且刀具的长度能够通过对刀仪自动测量，把刀具测量的数据传递给数控系统，实现刀具数据自动补偿；</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（4）整个机床上下料、加工过程，以及切削程序切换要求无人干预；</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（5）实现各轴坐标值/进给速度/主轴转速/刀号/刀长/伺服轴负载/电流数据等采集，通过OPC UA上传；</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（6）外部PLC通过PROFINET向机床下发加工产品类型和启动信号，机床启动相应的加工程序。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 提供完整的加工工艺；产品尺寸达到图纸要求，锐边去毛刺，外形美观。机加工节拍≤5min。合格品率≥：99%。</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 加工节拍符合加工工艺要求：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（1）夹具控制气路、IO点（数量需满足夹具气路使用）（至少预留15个IO点，需要接安全门等，待实际生成硬件交互excel表格确认）。</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（2）通信接口：机床作为PROFINET 设备和OPC UA客户端（数据上传）。</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（3）机床各轴全部采用绝对多圈编码器，每次启动机床不需要回零操作，上电后数控系统会自动读取各轴当前的位置值。</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 产品加工尺寸、外观符合图纸要求；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7. 加工完成的工件无毛刺；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 数据采集；软件模块实现的功能是作为OPC UA客户端，将机床的数据信息取出，发送到PLC控制器中。</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9. 机床供应商应用毛坯件完成合格的产品加工。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五、配套数字孪生系统要求：</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▲1、设备要求</w:t>
            </w:r>
            <w:r>
              <w:rPr>
                <w:rFonts w:ascii="宋体" w:hAnsi="宋体" w:cs="宋体"/>
                <w:color w:val="auto"/>
                <w:sz w:val="21"/>
                <w:highlight w:val="none"/>
                <w:lang w:eastAsia="zh-CN"/>
              </w:rPr>
              <w:t xml:space="preserve">对接数字孪生系统，融入智能制造平台，完成智能化改造</w:t>
            </w:r>
            <w:r>
              <w:rPr>
                <w:rFonts w:hint="eastAsia" w:ascii="宋体" w:hAnsi="宋体" w:cs="宋体"/>
                <w:color w:val="auto"/>
                <w:sz w:val="21"/>
                <w:highlight w:val="none"/>
                <w:lang w:eastAsia="zh-CN"/>
              </w:rPr>
              <w:t xml:space="preserve">（供应商提供承诺函）；</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2、要求提供高精度的机床模型，以适配数字软件建模型；</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3、要求设备和数字孪生系统可完成数据交互。</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六、技术服务要求，内容不少于以下: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1、提供不少于10天的课程培训；</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2、针对“新机床培训课程”，机床厂家提供课程体系主要围绕数控机床（CNC）展开，培养学员从基础操作到高级编程的全链路技能；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基础操作与安全课程内容涵盖如下：机床结构认知、安全规程、面板操作、工件装夹、对刀、量具使用；机床认知：了解数控机床的分类（车床、铣床、加工中心）、结构组成及工作原理。安全规范：学习人身安全、设备安全及工件安全守则，掌握紧急情况处理流程。面板操作：熟悉操作面板（如FANUC、西门子等系统）的按键功能，进行开机、回零、模式切换等操作。工装夹具：学习使用虎钳、卡盘、压板等工具进行工件装夹与校正。对刀与测量：掌握对刀仪、分中棒的使用，以及游标卡尺、千分尺等量具的读数方法。</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编程与工艺课程内容涵盖如下：G代码/M代码、手工编程、CAM软件（UG/Mastercam等）、加工工艺、参数优化；手工编程：学习G代码（准备功能）和M代码（辅助功能），能够编写简单的直线、圆弧、钻孔等程序，并理解刀具补偿、坐标系设定等原理。CAM软件编程：学习主流软件（如UG/NX、Mastercam、PowerMill）进行2D/3D建模、刀路生成、后处理及程序传输。加工工艺：学习切削参数（转速、进给量）的优化，以及针对不同材料（钢、铝、铸铁）的刀具选择策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专项与高级技术课程内容涵盖如下：多轴（四轴/五轴）编程、车铣复合、宏程序、模具设计、设备维护；多轴加工：学习四轴、五轴联动编程技术，解决复杂曲面、叶轮等零件的加工难题。车铣复合：学习车铣复合机床的操作与编程，实现一次装夹完成多道工序。宏程序：学习利用宏程序进行参数化编程，处理椭圆、抛物线等非圆曲线加工。模具设计：结合模具结构知识，进行模流分析、电极设计等专项训练。</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3</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精密数控电火花成型加工机</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1、设备技术描述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1.1、电火花成型加工机，具有 Z 轴数控的特点;主轴采用方形结构,V 型导轨,具有刚性强,抗扭转,精度高,灵敏度好,伺服响应快和加工稳定等特点。</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1.2、采用纵向床身，横向工作台，单立柱“C ”型结构。</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1.3、工作台（X、Y 轴）采用精密贴塑耐磨导轨副支承导向，高精密的滚珠丝杠副传动定位,光栅数显显示，具有灵活、可靠，运动阻力小，运行吸振性好,使用寿命长的特点。Z轴采用进口梯形螺纹丝杆,自锁、稳定可靠。</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1.4、主轴头采用进口直流电机拖动、同步齿形带传动方式。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1.5、工作液循环过滤系统采用高效、低噪音进口泵和纸芯过滤器，可供快速供油、放油和充吸油。</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1.6、机床工作液槽采用双开门结构，两个冲、吸油接头，方便工件装卡和加工。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1.7、配装精密直线光栅尺,Z 轴采用闭环控制系统对读数误差进行系统补偿,确保优良加工精度。</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2、执行标准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2.1、JB/T4105-2010 电火花成形机 技术条件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2.2、GB/T5291.1-2001 电火花成形机 精度检验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 GB/T5290.1-2001 电火花成形机 参数 第 1 部分：单立柱机床</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2.4、GB13567-1998 电火花加工机床安全防护技术要求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2.5、JB/T10143-1999 电火花成形机用自动灭火器技术条件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2.6、JB/T6569.1-2006 电火花加工机床数控系统可靠性试验规范  第 1 部分：脉冲电源</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2.7、JB/T6569.2-2006 电火花加工机床数控系统可靠性试验规范  第 2 部分：数控系统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2.8、JB/T8356-1996机床包装技术条件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2.9、GB5226.1-2008机械电气安全 机械电气设备条件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2.10、JB/T10208-2000 电火花加工机床操作指示形象化符号。</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3、数控脉冲电源系统的主要技术特点和功能技术特点：</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 采用超高速CPU 作为放电回路的核心,对放电间隙每秒采样两千万次，可及时对放电做出最佳调整，使放电更稳定。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 可以开启硬件侦测回路，由硬件自动完成伺服跟踪，在小面积深孔加工中更加有效。</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3.3. 主CPU 采用工业级低功耗CPU，即使没有风扇的情况下，也能稳定工作。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3.4. 提供一万组的档案储存，即可储存一万个不同模具的加工条件能力。具有多组加工坐标记忆功能。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3.5. 操作人性化，3D 界面显示，不同的显示信息分类放在不同的页面，可以随时翻页并操作。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3.6. 具有 10 段自动修细功能，可以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 自行编辑：依个人经验去编辑加工条件；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 AUTOZ 自动编辑：给予最大深度初始电流及完成的粗细选择，就会自动将加工条件编辑完成；</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 智能型条件编辑：只要选择电极形状，电极与工件材料，电极的截面积及加工完成粗细选择与深度设定就会自动将加工条件编辑好；以上三种编辑方式，皆可由粗→中→细一次完成加工。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3.7. 修改系统参数，X.Y.Z 轴坐标可公制、英制切换。</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3.8. 放电条件自动调整于放电不稳定时，计算机会自行修改放电效率及工作时间，待稳定后放电条件会自动恢复，加工中可以随时修改调整加工条件。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3.9. 自动防积碳侦测功能.遇积碳加工不稳定时，计算机自动调整各加工参数，并提高排渣高度，当稳定时就自动恢复。</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3.10. 可以设定放电 2 次拉升到所设定的任意位置再下去加工，对于深孔加工有良好排渣效果。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3.11. 具有消除二次放电功能及积碳快速拉升或放电寻边快速拉升功能。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3.12. 具有能量控制功能可使加工效果更均匀。可关掉能量控制可以使石墨加工更为快速。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3.13. 全新设计符合欧洲CE 安全规格之电源箱，可以防尘、防水、防干扰，提高电子板寿命。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3.14. 采用工业级PC-BASE 控制器及采用DOM 新式内存取代传统硬盘，读文件速度更快稳定性极高更适合于工业用途。</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3.15. 具有向上放电加工功能，使特殊工件加工更容易，</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3.16. 具有两个独立的加工坐标系，公模和母模可以在不同的坐标系分中或者加工。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3.17. 断电后再重新开机系统自动加载上次的加工条件和加工坐标，可以不用动面板任何按键而直接按线控盒放电。</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3.18. 拉升速度分段，在保证电极不被拉变形的情况下提高伺服速度，提高大面积加工的效率。</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3.19. 坐标和加工数据分别存储，在不同的坐标加工中可以快速加入相同的加工条件。</w:t>
            </w:r>
            <w:r>
              <w:rPr>
                <w:rFonts w:hint="eastAsia" w:ascii="宋体" w:hAnsi="宋体" w:cs="宋体"/>
                <w:color w:val="auto"/>
                <w:sz w:val="21"/>
                <w:highlight w:val="none"/>
                <w:lang w:eastAsia="zh-CN"/>
              </w:rPr>
              <w:br/>
            </w:r>
            <w:r>
              <w:rPr>
                <w:rFonts w:hint="eastAsia" w:ascii="宋体" w:hAnsi="宋体" w:cs="宋体"/>
                <w:color w:val="auto"/>
                <w:sz w:val="21"/>
                <w:highlight w:val="none"/>
              </w:rPr>
              <w:t xml:space="preserve">4、技术参数：</w:t>
            </w:r>
            <w:r>
              <w:rPr>
                <w:rFonts w:hint="eastAsia" w:ascii="宋体" w:hAnsi="宋体" w:cs="宋体"/>
                <w:color w:val="auto"/>
                <w:sz w:val="21"/>
                <w:highlight w:val="none"/>
              </w:rPr>
              <w:br/>
            </w:r>
            <w:r>
              <w:rPr>
                <w:rFonts w:hint="eastAsia" w:ascii="宋体" w:hAnsi="宋体" w:cs="宋体"/>
                <w:color w:val="auto"/>
                <w:sz w:val="21"/>
                <w:highlight w:val="none"/>
              </w:rPr>
              <w:t xml:space="preserve">▲4.1.工作台尺寸：不小于600mm×350mm</w:t>
            </w:r>
            <w:r>
              <w:rPr>
                <w:rFonts w:hint="eastAsia" w:ascii="宋体" w:hAnsi="宋体" w:cs="宋体"/>
                <w:color w:val="auto"/>
                <w:sz w:val="21"/>
                <w:highlight w:val="none"/>
              </w:rPr>
              <w:br/>
            </w:r>
            <w:r>
              <w:rPr>
                <w:rFonts w:hint="eastAsia" w:ascii="宋体" w:hAnsi="宋体" w:cs="宋体"/>
                <w:color w:val="auto"/>
                <w:sz w:val="21"/>
                <w:highlight w:val="none"/>
              </w:rPr>
              <w:t xml:space="preserve">4.2.工作槽尺寸：不小于880mm×570mm×350mm</w:t>
            </w:r>
            <w:r>
              <w:rPr>
                <w:rFonts w:hint="eastAsia" w:ascii="宋体" w:hAnsi="宋体" w:cs="宋体"/>
                <w:color w:val="auto"/>
                <w:sz w:val="21"/>
                <w:highlight w:val="none"/>
              </w:rPr>
              <w:br/>
            </w:r>
            <w:r>
              <w:rPr>
                <w:rFonts w:hint="eastAsia" w:ascii="宋体" w:hAnsi="宋体" w:cs="宋体"/>
                <w:color w:val="auto"/>
                <w:sz w:val="21"/>
                <w:highlight w:val="none"/>
              </w:rPr>
              <w:t xml:space="preserve">4.3.X 轴行程：≥350 mm</w:t>
            </w:r>
            <w:r>
              <w:rPr>
                <w:rFonts w:hint="eastAsia" w:ascii="宋体" w:hAnsi="宋体" w:cs="宋体"/>
                <w:color w:val="auto"/>
                <w:sz w:val="21"/>
                <w:highlight w:val="none"/>
              </w:rPr>
              <w:br/>
            </w:r>
            <w:r>
              <w:rPr>
                <w:rFonts w:hint="eastAsia" w:ascii="宋体" w:hAnsi="宋体" w:cs="宋体"/>
                <w:color w:val="auto"/>
                <w:sz w:val="21"/>
                <w:highlight w:val="none"/>
              </w:rPr>
              <w:t xml:space="preserve">4.4.Y 轴行程：≥250 mm</w:t>
            </w:r>
            <w:r>
              <w:rPr>
                <w:rFonts w:hint="eastAsia" w:ascii="宋体" w:hAnsi="宋体" w:cs="宋体"/>
                <w:color w:val="auto"/>
                <w:sz w:val="21"/>
                <w:highlight w:val="none"/>
              </w:rPr>
              <w:br/>
            </w:r>
            <w:r>
              <w:rPr>
                <w:rFonts w:hint="eastAsia" w:ascii="宋体" w:hAnsi="宋体" w:cs="宋体"/>
                <w:color w:val="auto"/>
                <w:sz w:val="21"/>
                <w:highlight w:val="none"/>
              </w:rPr>
              <w:t xml:space="preserve">4.5.Z 轴行程：≥180mm</w:t>
            </w:r>
            <w:r>
              <w:rPr>
                <w:rFonts w:hint="eastAsia" w:ascii="宋体" w:hAnsi="宋体" w:cs="宋体"/>
                <w:color w:val="auto"/>
                <w:sz w:val="21"/>
                <w:highlight w:val="none"/>
              </w:rPr>
              <w:br/>
            </w:r>
            <w:r>
              <w:rPr>
                <w:rFonts w:hint="eastAsia" w:ascii="宋体" w:hAnsi="宋体" w:cs="宋体"/>
                <w:color w:val="auto"/>
                <w:sz w:val="21"/>
                <w:highlight w:val="none"/>
              </w:rPr>
              <w:t xml:space="preserve">4.6.辅助 Z 轴行程：≥180mm</w:t>
            </w:r>
            <w:r>
              <w:rPr>
                <w:rFonts w:hint="eastAsia" w:ascii="宋体" w:hAnsi="宋体" w:cs="宋体"/>
                <w:color w:val="auto"/>
                <w:sz w:val="21"/>
                <w:highlight w:val="none"/>
              </w:rPr>
              <w:br/>
            </w:r>
            <w:r>
              <w:rPr>
                <w:rFonts w:hint="eastAsia" w:ascii="宋体" w:hAnsi="宋体" w:cs="宋体"/>
                <w:color w:val="auto"/>
                <w:sz w:val="21"/>
                <w:highlight w:val="none"/>
              </w:rPr>
              <w:t xml:space="preserve">4.7.最大电极吊重：不小于60kg</w:t>
            </w:r>
            <w:r>
              <w:rPr>
                <w:rFonts w:hint="eastAsia" w:ascii="宋体" w:hAnsi="宋体" w:cs="宋体"/>
                <w:color w:val="auto"/>
                <w:sz w:val="21"/>
                <w:highlight w:val="none"/>
              </w:rPr>
              <w:br/>
            </w:r>
            <w:r>
              <w:rPr>
                <w:rFonts w:hint="eastAsia" w:ascii="宋体" w:hAnsi="宋体" w:cs="宋体"/>
                <w:color w:val="auto"/>
                <w:sz w:val="21"/>
                <w:highlight w:val="none"/>
              </w:rPr>
              <w:t xml:space="preserve">4.8.最大工件重量：不小于500kg</w:t>
            </w:r>
            <w:r>
              <w:rPr>
                <w:rFonts w:hint="eastAsia" w:ascii="宋体" w:hAnsi="宋体" w:cs="宋体"/>
                <w:color w:val="auto"/>
                <w:sz w:val="21"/>
                <w:highlight w:val="none"/>
              </w:rPr>
              <w:br/>
            </w:r>
            <w:r>
              <w:rPr>
                <w:rFonts w:hint="eastAsia" w:ascii="宋体" w:hAnsi="宋体" w:cs="宋体"/>
                <w:color w:val="auto"/>
                <w:sz w:val="21"/>
                <w:highlight w:val="none"/>
              </w:rPr>
              <w:t xml:space="preserve">4.9.电极板到工作台距离:200～560mm</w:t>
            </w:r>
            <w:r>
              <w:rPr>
                <w:rFonts w:hint="eastAsia" w:ascii="宋体" w:hAnsi="宋体" w:cs="宋体"/>
                <w:color w:val="auto"/>
                <w:sz w:val="21"/>
                <w:highlight w:val="none"/>
              </w:rPr>
              <w:br/>
            </w:r>
            <w:r>
              <w:rPr>
                <w:rFonts w:hint="eastAsia" w:ascii="宋体" w:hAnsi="宋体" w:cs="宋体"/>
                <w:color w:val="auto"/>
                <w:sz w:val="21"/>
                <w:highlight w:val="none"/>
              </w:rPr>
              <w:t xml:space="preserve">4.10.加工液容量:不高于280L</w:t>
            </w:r>
            <w:r>
              <w:rPr>
                <w:rFonts w:hint="eastAsia" w:ascii="宋体" w:hAnsi="宋体" w:cs="宋体"/>
                <w:color w:val="auto"/>
                <w:sz w:val="21"/>
                <w:highlight w:val="none"/>
              </w:rPr>
              <w:br/>
            </w:r>
            <w:r>
              <w:rPr>
                <w:rFonts w:hint="eastAsia" w:ascii="宋体" w:hAnsi="宋体" w:cs="宋体"/>
                <w:color w:val="auto"/>
                <w:sz w:val="21"/>
                <w:highlight w:val="none"/>
              </w:rPr>
              <w:t xml:space="preserve">4.11.主机外形尺寸:不小于1360 mm×1430mm×2100mm</w:t>
            </w:r>
            <w:r>
              <w:rPr>
                <w:rFonts w:hint="eastAsia" w:ascii="宋体" w:hAnsi="宋体" w:cs="宋体"/>
                <w:color w:val="auto"/>
                <w:sz w:val="21"/>
                <w:highlight w:val="none"/>
              </w:rPr>
              <w:br/>
            </w:r>
            <w:r>
              <w:rPr>
                <w:rFonts w:hint="eastAsia" w:ascii="宋体" w:hAnsi="宋体" w:cs="宋体"/>
                <w:color w:val="auto"/>
                <w:sz w:val="21"/>
                <w:highlight w:val="none"/>
              </w:rPr>
              <w:t xml:space="preserve">4.12.机械重量:不小于1300kg</w:t>
            </w:r>
            <w:r>
              <w:rPr>
                <w:rFonts w:hint="eastAsia" w:ascii="宋体" w:hAnsi="宋体" w:cs="宋体"/>
                <w:color w:val="auto"/>
                <w:sz w:val="21"/>
                <w:highlight w:val="none"/>
              </w:rPr>
              <w:br/>
            </w:r>
            <w:r>
              <w:rPr>
                <w:rFonts w:hint="eastAsia" w:ascii="宋体" w:hAnsi="宋体" w:cs="宋体"/>
                <w:color w:val="auto"/>
                <w:sz w:val="21"/>
                <w:highlight w:val="none"/>
              </w:rPr>
              <w:t xml:space="preserve">4.13.最大工作电流:不低于60A</w:t>
            </w:r>
            <w:r>
              <w:rPr>
                <w:rFonts w:hint="eastAsia" w:ascii="宋体" w:hAnsi="宋体" w:cs="宋体"/>
                <w:color w:val="auto"/>
                <w:sz w:val="21"/>
                <w:highlight w:val="none"/>
              </w:rPr>
              <w:br/>
            </w:r>
            <w:r>
              <w:rPr>
                <w:rFonts w:hint="eastAsia" w:ascii="宋体" w:hAnsi="宋体" w:cs="宋体"/>
                <w:color w:val="auto"/>
                <w:sz w:val="21"/>
                <w:highlight w:val="none"/>
              </w:rPr>
              <w:t xml:space="preserve">4.14.机床供电电源:AC380V 50Hz</w:t>
            </w:r>
            <w:r>
              <w:rPr>
                <w:rFonts w:hint="eastAsia" w:ascii="宋体" w:hAnsi="宋体" w:cs="宋体"/>
                <w:color w:val="auto"/>
                <w:sz w:val="21"/>
                <w:highlight w:val="none"/>
              </w:rPr>
              <w:br/>
            </w:r>
            <w:r>
              <w:rPr>
                <w:rFonts w:hint="eastAsia" w:ascii="宋体" w:hAnsi="宋体" w:cs="宋体"/>
                <w:color w:val="auto"/>
                <w:sz w:val="21"/>
                <w:highlight w:val="none"/>
              </w:rPr>
              <w:t xml:space="preserve">4.15.机床最大消耗功率:5KVA</w:t>
            </w:r>
            <w:r>
              <w:rPr>
                <w:rFonts w:hint="eastAsia" w:ascii="宋体" w:hAnsi="宋体" w:cs="宋体"/>
                <w:color w:val="auto"/>
                <w:sz w:val="21"/>
                <w:highlight w:val="none"/>
              </w:rPr>
              <w:br/>
            </w:r>
            <w:r>
              <w:rPr>
                <w:rFonts w:hint="eastAsia" w:ascii="宋体" w:hAnsi="宋体" w:cs="宋体"/>
                <w:color w:val="auto"/>
                <w:sz w:val="21"/>
                <w:highlight w:val="none"/>
              </w:rPr>
              <w:t xml:space="preserve">4.16.最大加工速度:≥400 mm3/min</w:t>
            </w:r>
            <w:r>
              <w:rPr>
                <w:rFonts w:hint="eastAsia" w:ascii="宋体" w:hAnsi="宋体" w:cs="宋体"/>
                <w:color w:val="auto"/>
                <w:sz w:val="21"/>
                <w:highlight w:val="none"/>
              </w:rPr>
              <w:br/>
            </w:r>
            <w:r>
              <w:rPr>
                <w:rFonts w:hint="eastAsia" w:ascii="宋体" w:hAnsi="宋体" w:cs="宋体"/>
                <w:color w:val="auto"/>
                <w:sz w:val="21"/>
                <w:highlight w:val="none"/>
              </w:rPr>
              <w:t xml:space="preserve">4.17.显示方式彩显:VGA display</w:t>
            </w:r>
            <w:r>
              <w:rPr>
                <w:rFonts w:hint="eastAsia" w:ascii="宋体" w:hAnsi="宋体" w:cs="宋体"/>
                <w:color w:val="auto"/>
                <w:sz w:val="21"/>
                <w:highlight w:val="none"/>
              </w:rPr>
              <w:br/>
            </w:r>
            <w:r>
              <w:rPr>
                <w:rFonts w:hint="eastAsia" w:ascii="宋体" w:hAnsi="宋体" w:cs="宋体"/>
                <w:color w:val="auto"/>
                <w:sz w:val="21"/>
                <w:highlight w:val="none"/>
              </w:rPr>
              <w:t xml:space="preserve">4.18.最小电极消耗:≤0.1%</w:t>
            </w:r>
            <w:r>
              <w:rPr>
                <w:rFonts w:hint="eastAsia" w:ascii="宋体" w:hAnsi="宋体" w:cs="宋体"/>
                <w:color w:val="auto"/>
                <w:sz w:val="21"/>
                <w:highlight w:val="none"/>
              </w:rPr>
              <w:br/>
            </w:r>
            <w:r>
              <w:rPr>
                <w:rFonts w:hint="eastAsia" w:ascii="宋体" w:hAnsi="宋体" w:cs="宋体"/>
                <w:color w:val="auto"/>
                <w:sz w:val="21"/>
                <w:highlight w:val="none"/>
              </w:rPr>
              <w:t xml:space="preserve">4.19.最佳加工表面粗糙度:≤Ra0.4 μm</w:t>
            </w:r>
            <w:r>
              <w:rPr>
                <w:rFonts w:hint="eastAsia" w:ascii="宋体" w:hAnsi="宋体" w:cs="宋体"/>
                <w:color w:val="auto"/>
                <w:sz w:val="21"/>
                <w:highlight w:val="none"/>
              </w:rPr>
              <w:br/>
            </w:r>
            <w:r>
              <w:rPr>
                <w:rFonts w:hint="eastAsia" w:ascii="宋体" w:hAnsi="宋体" w:cs="宋体"/>
                <w:color w:val="auto"/>
                <w:sz w:val="21"/>
                <w:highlight w:val="none"/>
              </w:rPr>
              <w:t xml:space="preserve">4.20.电箱外形尺寸：不小于600mm×800mm×1800mm。</w:t>
            </w:r>
            <w:r>
              <w:rPr>
                <w:rFonts w:hint="eastAsia" w:ascii="宋体" w:hAnsi="宋体" w:cs="宋体"/>
                <w:color w:val="auto"/>
                <w:sz w:val="21"/>
                <w:highlight w:val="none"/>
              </w:rPr>
              <w:br/>
            </w:r>
            <w:r>
              <w:rPr>
                <w:rFonts w:hint="eastAsia" w:ascii="宋体" w:hAnsi="宋体" w:cs="宋体"/>
                <w:color w:val="auto"/>
                <w:sz w:val="21"/>
                <w:highlight w:val="none"/>
                <w:lang w:eastAsia="zh-CN"/>
              </w:rPr>
              <w:t xml:space="preserve">5、设备落地部署要求：按要求完成现场使用部署，包含强弱电改造，电源适配器，线材线缆桥架安装，约40米6平方电线电缆，辅材配件。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6、功能要求：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 实时跟踪显示当前各轴坐标值，并能显示加工轴坐标最大值。</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6.2. 高灵敏度的防结碳电路，确保无拉弧。</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6.3. 具自动定位功能（端面、孔中心）。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6.4. 具有快速移动功能。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6.5. 具有接触感知功能。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6.6. 十段可编程加工，加工条件自动转换，从粗到细一次完成，方便灵活。</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6.7. 自动返回加工起始点功能。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6.8. 具有断点加工、火花找正功能。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6.9. 具有自动关机、掉电记忆功能。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6.10. 独特的二段可设定伺服系统大幅度提高加工速度。</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6.11. 电脑内置专家系统，能使电极损耗降至最低。</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6.12. 超细的加工表面，配有镜面加工回路。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6.13. 短路自适应处理功能，短路退模保护功能，自动积碳感应保护功能。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6.14. 液位、油温、防火感应、自动灭火器四重安全保护功能、确保使用安全。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6.15. 故障提示报警，方便维修故障提示报警，方便维修。中英文界面，可切换，具有屏幕保护功能。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6.16. 加工数据库可根据用户实际情况自行定义最合适参数，即调即用，非常方便。</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4</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平面磨床</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1、功能要求概述：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采用砂轮周边磨削工件平面的机床，亦可使用砂轮的端面磨削工件垂直面。机床工作台宽为300，有效长度1000mm，磨削高度通用型最大400mm；加高型最大650mm。按工件的不同可将其吸牢在电磁吸盘上，或直接固定在工作台上，亦可用其他夹具夹持磨削。</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工作台纵向运动为液压驱动。磨头在拖板上的横向运动为液压驱动，亦可手动，并有手、液动互锁装置。拖板（连同磨头）装设在立柱上，其上、下垂直运动具有手动进给和机动（快速升降）功能，并有互锁装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1.3床身内部油池中的回油点与进油点的距离路线最长，液压油循环流动，以均衡油温分布，减小机床的热变形。</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2、设备技术描述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工作台导轨贴软胶带，防止低速爬行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拖板导轨为镶钢导轨,寿命长,易维修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带有磨头快速升降功能,可降低劳动强度</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3、技术参数：要求如下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3.1.部件内容 </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▲3.2.工作台 工作台台面宽度不小于320 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3.3.工作台台面长度不小于1000 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3.4.工作台纵向行程不小于1050 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3.5.工作台 T 型槽数量不少于3</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3.6.工作台 T 型槽宽度尺寸不小于18mm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3.7.工作台纵向进给 3~27 m/min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3.8.进 给系 统主轴中心到台面距离 最大 575 mm，最小 135 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3.9.横进给速度 0.5~3 m/min，横进给行程 350 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3.10.磨头垂直进给手轮每格进给量 0.01 mm，磨头垂直进给手轮每转进给量 1 mm，磨头快速进给速度 250 mm/min；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3.11砂轮 砂轮外形尺寸不小于（D×d×W） 350×40×127mm，不小于砂轮转速 1440 r/min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3.12.液 压系 统 工作压力 1.1~1.7 MPa，润滑压力 0.1~0.3 MPa；</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3.13.电 机功 率 电机总功率不小于 9.2 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3.14.砂轮主轴电机不小于5.5 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3.15.油泵电机 不小于3kW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3.16.磨头快速升降电机 不小于0.55 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3.17.冷却泵电机不小于 0.12 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3.18.机床外包装尺寸 长×宽×高（mm）不大于2320×1680×2465</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3.19.重  量 机床净重不小于3500 kg</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3.20.机床最大承载重量不小于468 kg</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3.21.加工范围不小于（长1000 mm，宽320 mm，高400 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4、机床精度要求如下：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4.1工作台面的平面度不低于 0.015mm；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4.2工作台(或磨头)移动对工作台面的平行度不大于：a．纵向 0.015mm 局部公差：在任意300 测量长度上为:0.008mm；b．横向 0.015mm；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4.3磨头横向移动对工作台纵向移动的垂直度不大于0.03/300；</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4.4砂轮主轴锥面的径向跳动不大于 0.01mm；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4.5砂轮主轴的轴向窜动不大于 0.01mm；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4.6未提及机床精度验收要求按乙方的出厂检验要求执行；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4.7磨削工件的表面粗糙度≤Ra0.63。</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5、设备落地部署要求：按要求完成现场使用部署，包含强弱电改造，电源适配器，线材线缆桥架安装，约40米6平方电线电缆，辅材配件。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6、附件及工具</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 砂轮连卡盘（放在箱内) 1套P350×40×127WA46LV35 M7130.32- 001</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M7130.32- 100，M7130.32- 300，M7130.32- 301，M7130.32- 302，M7130.32- 500 。</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 平衡轴 M7130.85- 300 1件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 砂轮修整器(无金刚钻) MY7130C.60 1副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 套筒螺母 M7130.85- 301 1副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 塑料铁屑刮板 M7130.85- 500 1件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 套筒螺母连手柄 M7130.85.1 1副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7 圆螺母扳手 78- 85/S93- 1 1件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 圆螺母扳手 135- 145/S93- 1 1件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9 单头扳手 19/S91- 2 1件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10 地脚螺栓、螺母和垫圈 M20×400/J23- 8；M20/J11- 1、20/J51- 1 2副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 机床垫铁 160×80 5件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 电磁吸盘 300×1000 1套</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5</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高精密数控中走丝线切割加工机</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1、设备技术描述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该设备用于各种复杂模具及零件的轨迹切割的放电加工，用于各种硬质合金、不锈钢、 模具钢、合金钢、碳钢、铜合金、铝合金等材料的加工，设备主机应保证有较高的几何精度和位置精度，并有足够的静态、动态、热态刚度和精度，设备具有多次切割、锥度切割及变锥度和异形啮合切割功能。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2设备组成：由主机、电气控制系统、软件部分、冷却过滤系统组成。主机主要由机身、立柱、线架、工作台等组成，机床结构紧凑，设计合理，具备 X、Y、U、V、Z 五轴，其中 X、Y、U、V 四轴联动。电气柜采用冷轧钢板制作，静电喷塑，其内部装有计算机及控制软件、高频控制模块、驱动器、变频器、风扇等。冷却系统包括水箱、冷却泵、过滤。所用部件及元件均为标准化优质产品。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3、执行标准：标准号 标准名称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JB/T10082-2010 电火花线切割机技术条件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GB/T7926-2005 电火花线切割机（往复走丝型）精度检验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JB/T6559.2-2006 电火花加工机床数控系统可靠性试验规范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GB13567-1998 电火花加工机床安全防护技术要求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JB/T8356.1-1996 机床包装技术条件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JB/T10208-2000 电火花加工机床操作指示形象化符合</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GB5226.1-2008 机械电气安全 机械电气设备 第 1 部分：通用技术条件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机床精度符合 GB/T7926-87 标准检测：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X、Y 轴的运动矢动量：≤0.005mm；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X 轴的定位精度：≤0.015mm；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X 轴的重复定位精度：≤0.015mm；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Y 轴的定位精度：≤0.017mm；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Y 轴的重复定位精度：≤0.01mm；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丝与工作台的垂直度：≤0.01mm；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设备所有零部件和各种仪表计量单位采用国际单位 SI 标准。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4、技术参数：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4.1机型：国标40，小锥度中走丝；</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4.2电器电柜形式：立柜，多次切割；</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4.3导轨：直线导轨；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4.4丝杠形式：双螺母滚珠丝杠；</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4.5 XYUV驱动方式：步进恒流源驱动；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4.6丝杠、导轨润滑方式:集中润滑油泵；</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4.7运丝电机工作方式:变频器控制；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4.8切割电源:高频电源控制卡和软件控制卡合二为一；</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4.9控制系统:AUTOCUT；</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▲4.10工作台尺寸:不小于440×680mm；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4.11 X、Y 轴向行程:不小于320×400mm；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4.12加工锥度/加工厚度:±5 °/100mm；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4.13最大直线切割厚度:不低于300mm（Z 轴手动升降）；</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4.14控制方式:4 轴联动；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4.15最大承载重量:不低于500kg；</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4.16运动轴运动分辨率:不低于0.001mm；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4.17储丝筒径向跳动:≤0.02mm；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4.18钼丝直径范围:0.12~0.22mm；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4.19储丝筒储丝量:不小于300m；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4.20走丝速度范围:1-12m/s(七段可调)；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4.21最大加工电流:不低于8A；</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4.22最大加工效率（Cr12 80mm 厚时）:稳定加工≥120 mm2/min；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4.23极限电流切割≥180 mm2/min (≥30min）；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4.24表面粗糙度（直线切割，H≤40mm）:一次切割 Ra≤2.5 </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m 多次切割 Ra≤1.2 </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4.25多次切割精度 Cr12,H=40mm:≤0.010mm(直线切割)；</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4.26通讯接口:LAN、USB；</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4.27操作功能:绘制或 CAD 图形导入；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4.28主要电气元件：不低于西门子、欧姆龙同等品牌；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4.29工作液箱容积：90L；</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4.30工作液过滤方式：水箱采用五层多级过滤，立式循环泵，纸芯过滤；</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4.31主机外形尺寸：不小于1590×1240×1700mm；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4.32电柜尺寸：不小于730×630×1720mm；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4.33电器额定功率：≤3kW.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5、设备落地部署要求：按要求完成现场使用部署，包含强弱电改造，电源适配器，线材线缆桥架安装，约40米4平方电线电缆，辅材配件。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6、机身以及特殊要求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 高强度 HT250 铸铁，“T”型床身， 音叉线架、“金字塔”形十字滑台结构设计，机床刚性好，精度稳定，承载力大；电动升降调节结构，便于不同厚度的工件切割；</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6.2 铸件全部采用树脂砂工艺铸造，长时间自然时效，二次回火，内应力消除彻底，提高了铸件刚性及精度保持性；增加了机床的刚性、减少了变形量。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6.3 导轨采用台湾银泰直线导轨，传动精度高。</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6.4 采用高精度双螺母预紧滚珠丝杠，反向间隙小，定位及重复定位精度高，为每次修刀切割和跳步精度提供了可靠保证；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6.5 四轴采用步进恒流源驱动。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6.6 机床组件、部件全部采用大型磨床、精密加工中心等高端加工设备进行精加工，确保了零部件的几何精度和配合精度</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6.7 工作台设有 T 型槽便于工件安装及调整，工作台配装大积水盘及刚性、柔性防护水罩，有效防止皂化液飞溅，环保、美观；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6.8 各轴丝杠、导轨自动润滑，废油水自动回收，清洁环保；</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6.9 丝筒由薄壁无缝钢管焊接而成，动平衡检测，静、动态跳动小；表面镀铬，经久耐磨，不易产生划痕；</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6.10 运丝电机变频调速，运行平稳，低噪音，低速安装钼丝，安全可靠，且调速范围宽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6.11 水箱采用五层多级过滤，立式循环泵，纸芯过滤，过滤精度 0.01mm。水箱容量 90L，具有过滤精细，供水快，容量大，循环使用时间长等特点。</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6.12 电器关键部分采用品牌产品，如继电器采用欧姆龙、上海长城牌等，交流接触器采用西门子，变压器采用无锡富杰。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6.13 电路元器件如场效应管、整流桥、集成块均采用进口产品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6.14 高频电路采用高性能数字脉冲电源（主振电路高速数字振荡信号计算机嵌入控制，FPGA产生，专用 VMOS 推动电路，多个大功率 VMOS 场效应管做功率放大），高频参数可实时调整，智能控制，进一步提高了加工效率及工件加工表面的光洁度。</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6.15 利用软件多次切割编程时实现设置及自动调节高频切割参数数据库，从而改变脉冲间隔、脉冲宽度、功率管投放数目、限流电阻阵列、电机运行频率（钼丝运行速度）、跟踪。经过多；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次修刀切割后的工件加工表面的光洁度明显改善；</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6.16 直观、便捷、可修改的参数库，用户可灵活保存不同材料、不同高度、不同速度、不同表面粗糙度的切割参数以及校直、碰边电参数，这样设计降低了对机床操作者工艺方面的要求，同时简化、方便了机床操作。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7、设备落地部署要求：按要求完成现场使用部署，包含强弱电改造，电源适配器，线材线缆桥架安装，约40米6平方电线电缆，辅材配件。</w:t>
            </w:r>
            <w:r>
              <w:rPr>
                <w:rFonts w:hint="eastAsia" w:ascii="宋体" w:hAnsi="宋体" w:cs="宋体"/>
                <w:color w:val="auto"/>
                <w:sz w:val="21"/>
                <w:highlight w:val="none"/>
                <w:lang w:eastAsia="zh-CN"/>
              </w:rPr>
              <w:br/>
            </w:r>
            <w:r>
              <w:rPr>
                <w:rFonts w:hint="eastAsia" w:ascii="宋体" w:hAnsi="宋体" w:cs="宋体"/>
                <w:color w:val="auto"/>
                <w:sz w:val="21"/>
                <w:highlight w:val="none"/>
              </w:rPr>
              <w:t xml:space="preserve">8、控制系统要求：控制系统：</w:t>
            </w:r>
            <w:r>
              <w:rPr>
                <w:rFonts w:hint="eastAsia" w:ascii="宋体" w:hAnsi="宋体" w:cs="宋体"/>
                <w:color w:val="auto"/>
                <w:sz w:val="21"/>
                <w:highlight w:val="none"/>
              </w:rPr>
              <w:br/>
            </w:r>
            <w:r>
              <w:rPr>
                <w:rFonts w:hint="eastAsia" w:ascii="宋体" w:hAnsi="宋体" w:cs="宋体"/>
                <w:color w:val="auto"/>
                <w:sz w:val="21"/>
                <w:highlight w:val="none"/>
              </w:rPr>
              <w:t xml:space="preserve">8.1 控制柜为立柜 </w:t>
            </w:r>
            <w:r>
              <w:rPr>
                <w:rFonts w:hint="eastAsia" w:ascii="宋体" w:hAnsi="宋体" w:cs="宋体"/>
                <w:color w:val="auto"/>
                <w:sz w:val="21"/>
                <w:highlight w:val="none"/>
              </w:rPr>
              <w:br/>
            </w:r>
            <w:r>
              <w:rPr>
                <w:rFonts w:hint="eastAsia" w:ascii="宋体" w:hAnsi="宋体" w:cs="宋体"/>
                <w:color w:val="auto"/>
                <w:sz w:val="21"/>
                <w:highlight w:val="none"/>
              </w:rPr>
              <w:t xml:space="preserve">8.2 硬件组成：P4 级数控专用机 ChassisRS-350-7215-30ZChassis 4U w/0 BP W/300W ATX Power：SBCEB-7215-VE 工业级嵌入式主板，PCI 总线，配备高端计算机，强大的网络功能，实现远程控制。</w:t>
            </w:r>
            <w:r>
              <w:rPr>
                <w:rFonts w:hint="eastAsia" w:ascii="宋体" w:hAnsi="宋体" w:cs="宋体"/>
                <w:color w:val="auto"/>
                <w:sz w:val="21"/>
                <w:highlight w:val="none"/>
                <w:lang w:eastAsia="zh-CN"/>
              </w:rPr>
              <w:t xml:space="preserve">板贴 CPU，USB 接口、网络接口双串口，支持 XP 操作系统，CPU 第三代凌动 D2550 板载双核 4 现场程 1.86G 低功耗处理器，RAMDDRIII 2GB，工业级宽温 mSATA 32GB电子硬盘，KeyBoradKB88 键盘；光电 PS2 mouse；15 寸金属外壳工业级液晶彩色显示器；（计算机配置根据软件定制，此处仅为参考）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8.3 软件系统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软件：AUTOCUT 控制卡； CNC 系统的技术性能、CNC 的软件组成。操作平台：WIN7 32 位操作系统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 脉冲电源：采用大功率 VMOS 场效应管</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 AUTOCUT 线切割控制系统充分发挥了 Windows 操作系统操作简单、直观和多任务的优势，能够完全通过鼠标或键盘操作来控制线切割机床工作的软硬件系统。可以和 CAXA、AUTOP、 KS 等基于 Windows 平台的主流线切割编程系统无缝拼接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8.3 总体功能：平台下工作，编控一体；锥度机床四轴控制、四轴联动，实现锥度及上下异形加工； TSK 代码控制；可读取 AutoCAD的 DXF 文件，也可反向读取 3B 代码及 G代码；操作界面具有中文显示，加工图形、加工轨迹、程序坐标值等信息能实时显示，具有自动编程软件接口转换功能。配有网卡、具有网络传输功能；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 控制部分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 浏览和查找图库：充分发挥 Windows 操作系统的优势，可以快速浏览查找所需的文件。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8.4.2 模拟切割：可以模拟机床的实际切割状态，包括对机床运动轨迹的检测。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8.4.3 机床调试：可以控制线切割机床沿指定的八个方向运动设定的步数，可用来调试机床。</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8.4.4 任选切割段：可从任意段开始加工，到任意段结束。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8.4.5 代码段不受限：代码段只受计算机物理内存的限制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8.4.6 实时显示线切割加</w:t>
            </w:r>
            <w:r>
              <w:rPr>
                <w:rFonts w:hint="eastAsia" w:ascii="宋体" w:hAnsi="宋体" w:cs="宋体"/>
                <w:color w:val="auto"/>
                <w:sz w:val="21"/>
                <w:highlight w:val="none"/>
                <w:lang w:eastAsia="zh-CN"/>
              </w:rPr>
              <w:t xml:space="preserve">工的进程及状态：实时监视线切割机床的加工状态，并显示当前加工坐标的变化值、当前加工段数、总加工段数、当前加工效率和平均加工效率、加工代码等等。具有屏幕显示图形轮廓，加工轨迹、增量坐标（相对坐标）、图形坐标变换、缩放、旋转功能，图形跟踪显示功能、直线、圆弧插补功能、斜度加工功能、上下异面加工功能、短路、断丝处理功能、停电记忆功能，加工结束自动停机功能、自动对端面、对中心功能、自动加过渡圆弧功能（任意，拐角功能）、反向加工功能、菜单技术、自动编程功能、数据传输、多刀切割功能、加工代码、加工程序、跟踪轨迹等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8.4.7 当前加工状态保存：如当前切割的工件较大，可以在切割进行到任何一步进行保存，下次开机后可以在上一次切割的“停止点”继续切割。</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8.4.8 断电保护：如加工过程中整个机床突然断电，重新上电后，系统自动恢复机床的原加工状态值参数。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8.4.9 自动停机：切割完毕之后，自动关闭水泵和自动总停机。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8.4.10 前置暂停：即将切割完毕前，提前设置暂停功能，可有效防止夹丝、断丝等现象发生。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8.4.11 清角功能：能够有效消除塌角。</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8.4.12 自动校中心功能：操作者只要按照需选取要对中的要求，自动移动数控轴，系统会自动取点，参与计算对中，消除人为误差。对中可以分为：内圆找中心、正方形、长方形分中、碰边找正及找圆心功能。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8.4.13 监控功能，具有加工动态跟踪校验功能，断丝等非正常状态下的时候，发现异常能够立即停机报警功能。切割完成时有报警声音提示用户已经切割完成。</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8.4.14 具有加工中断丝停机保护、短路自动回退功能。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8.4.15 具有拐角处理功能，以改善电极丝弯曲造成的偏差。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8.4.16 多种加工方式可灵活组合加工（连续、单段、正向、逆向、倒退等加工方式）。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8.4.17 锥度校正计算：具有等锥、变锥及上下异形切割功能，对导轮半径、电极丝直径、单边放电间隙以及大锥度的椭圆误差进行计算，校正锥度加工参数，以消除锥度加工的理论误差。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8.4.18 将图形格式直接进行线切割工艺处理，生成线切割加工的二维或者三维数据，并进行零件加工。支持多种线切割软件生成的 3B 代码、G 代码等加工代码。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8.4.19 跳步模切割时可选择切割图形的优先顺序。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8.4.20 具有自动回直功能，锥度切割完毕，钼丝自动回到垂直的初始状态，方便用户使用。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 绘图编程部分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8.5.1 常用的点、线、圆输入功能。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8.5.2 具有 AutoCAD 转换功能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8.5.3 具有非圆零件(椭圆、抛物线、双曲线、渐开线、摆线、螺旋线、)自动编程。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8.5.4 具有镜像.阵列.对称.旋转加工，比例缩放，模拟图形显示功能。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8.5.5 具有自动电极丝半径补偿、放电间隙补偿，跳步线改变偏离量功能。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8.5.6 具有图形和加工代码后处理功能，根据计算中出现的错误提示用户修改。对点、线、圆生成的零件自动偏离，生成偏离图形，用户可根据图形修改偏离量。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8.5.7 两线倒圆自动处理，局部放大功能。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8.5.8 具有前后台多任务处理能力，加工过程中可编程功能。配有智能化数据库，通过大量试验和优化组合，供用户针对不同工件切割需求进行选择，也可由客户自行编辑加工参数加以存盘。并且查询调用简便。</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8.5.9 具有控制软件操作向导，具有帮助信息功能。</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6</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手持激光焊焊接机</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1、设备技术描述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手持式光纤激光焊接机整套设备主要由连续光纤激光器、手持式激光焊接头、水冷器、传输光纤几大部分组成。可以连续或脉冲出光，不但可以实现热导焊，也可以连续深熔焊接。可实现点焊、对接焊、叠焊、密封焊、缝焊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1.2、主要针对薄壁材料、精密零件焊接，可获得优质的焊缝质量。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2、教学功能：厂家上门操作培训 + 教学课件不少于5天的培训和示教•  连续工作 ≥4 小时 无过热、功率稳定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2.1、焊接碳钢 2 mm 板，焊缝均匀、无明显气孔裂纹</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2.2、教学功能齐全、操作简单、安全可靠。  </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2.3、预设教学工艺库（碳钢 / 不锈钢 / 铝常用参数）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2.4、焊接参数实时显示（功率 / 速度 / 送丝 / 气体）</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2.5、故障自诊断与中文报警</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3、技术参数：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3.1额定输出功率不小于1500W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3.2功率调节范围10%—100%</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3.3撤光中心波长1080±2nm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3.4激光输出方式连续/调制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3.5.最大调制频率50KHz</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3.6光纤输出接口QBH</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3.7光纤指示系统：红光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3.8光纤纤芯：20</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m/30</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3.9焊枪线缆长度10m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3.10焊枪类型左右摆动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3.11准直焦距50mm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3.12聚焦焦距不小于80mm/120mm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3.13送丝直径0.8/L0/1.2M1.6/2.0mm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3.14焊检重量不小于0.7KG</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3.15保护方式同轴保护</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3.16可调宽度0-6mm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3.17水流量&gt;12L/min&gt;15L/min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3.18设备结构一体式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3.19设备尺寸(D1039x(D)460X(H)741mm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3.20设备重量&lt;110KG</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3.21工作环境温度10-40℃</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3.22工作环境湿度&lt;70%</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3.23工作电压单相220VAC</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3.24整机功率≤8kW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4、设备落地部署要求：按要求完成现场使用部署，包含强弱电改造，电源适配器，线材线缆桥架安装，约50米4平方电线电缆，辅材配件。</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7</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CNC数智一体机</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一、功能要求：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可进行技能考核，考核结果优秀者，可进行真机操作。作为理论和实践的过渡教学区域，有效地降低了实训过程中的安全事故以及实训成本；具体要求如下：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1、支持安装运行智能制造、数控等实训软件；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2、支持数控车床、加工中心、三坐标测量仪、刀具库、量具库；</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3、支持通过外接硬件的方式启动相应实训软件；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4、支持通过外接操作面板的方式控制相应实训软件；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5、支持更换各类外界操作面板，实现一机复用；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6、支持制造工艺过程数据采集、分析报告功能；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7、支持有线、无线联网功能；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8、学生可自定义安装常用软件；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9、支持学生参加在线理论、技能操作考核；</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10、支持开展技能等级认定考试活动。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11、数控系统配套数控车床、数控铣床操作面板。</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12、整体尺寸不大于75x55x90cm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12、不小于21英寸显示屏。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13、不小于10英寸系统显示屏。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14、配置机床电子手轮脉冲发生器。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15、基于数控机床运动的仿真系统，仿真效果逼真，运行流畅。</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17、支持拓展USB、HDMI等接口。</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18、支持各种数据的实时显示，包括各类坐标系、加工速度、刀具补偿信息等。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19、支持刀具库、量具库等操作演示。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二、参数要求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1、数控车床部分：</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1.1.</w:t>
            </w:r>
            <w:r>
              <w:rPr>
                <w:rFonts w:hint="eastAsia" w:ascii="宋体" w:hAnsi="宋体" w:cs="宋体"/>
                <w:color w:val="auto"/>
                <w:sz w:val="21"/>
                <w:highlight w:val="none"/>
                <w:lang w:eastAsia="zh-CN"/>
              </w:rPr>
              <w:t xml:space="preserve">数控车床配备发那科或三菱或西门子数控系统，模拟真实数控车床运动的全过程，</w:t>
            </w:r>
            <w:r>
              <w:rPr>
                <w:rFonts w:hint="eastAsia" w:ascii="宋体" w:hAnsi="宋体" w:cs="宋体"/>
                <w:color w:val="auto"/>
                <w:sz w:val="21"/>
                <w:highlight w:val="none"/>
                <w:lang w:eastAsia="zh-CN"/>
              </w:rPr>
              <w:t xml:space="preserve">操作、编程与真实设备完全一致，并配备常用的刀具、工量夹具，可根据加工需求自行选择加工刀具或自定义刀具，在线进行编程操作、程序校验和加工模拟。（提供视频）</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1.2.因对刀、编程和操作而导致尺寸的误差，可通过修改刀补来调整尺寸误差来达到工件尺寸的精度要求。（提供视频）</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1.3.支持ISO准备功能码（G代码）、辅助功能码（M代码）及其它指令代码，固定循环指令、子程序和宏程序编写、修改及运行。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1.4.支持NC代码与模型导入\导出，支持Mastercam、UG等CAD/CAM软件后置处理的NC文件进行模拟加工。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1.5、通过操作虚拟面板或仿真面板实时驱动数控车床模型各部件运动，实时交互操作与编程。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1.6、可通过鼠标随时调整机床的视角和床身显示模式，旋转、缩放、平移，多角度地观测加工过程，并支持在线测量功能。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1.7、支持外圆、内孔、外槽、外螺纹、内螺纹、内槽、圆弧等加工特征。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1.8、配备电动刀架、跟刀架、中心架、三爪卡盘、四爪卡盘</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▲1.9、支持尾座安装顶尖、钻夹头和钻孔功能。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1.10、支持对刀视图操作，以便更直观地观察对刀过程。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1.11、可支持拓展1:1的数控仿真机床模型系统通过VR进行展示。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1.12、支持刀具安装调整功能，可对已安装在刀架上的刀具位置进行移动。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1.13、工件加工过程中，系统带有加工声效、冷却液、铁屑等。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1.14、系统配备加工刀具库，如平面外圆刀、尖刀、内外螺纹刀，内外切槽刀等。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1.15、支持自定义毛坯形状、材料、尺寸、装夹方式、装夹尺寸等参数，建立虚拟加工切削模型。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1.16、支持检测机床碰撞功能。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1.17、支持（绝对坐标、相对坐标）混合编程。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▲1.18、支持加载/导出毛坯、夹具、加工模型的文件信息。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1.19、支持仿真过程中，随时缩放、旋转与平移等操作,无需中断仿真进程。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1.20、支持运行检查程序中的语法错误、缺少元素错误、移动中的超行程错误等。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1.21、支持仿真加工过程中的刀具轨迹显示。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1.22、支持工件剖面观察和调头加工功能。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▲1.23、支持对已安装的工件毛坯位置进行调整，并能演示工件装夹校正常用方法。</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1.24、支持钢、铝、铜等多种材料的加工仿真。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▲1.25、配备移动刀具车，还原真实加工环境。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1.26、系统配有刀具、工件安装等视频教程演示，促使学员更快掌握相应的专业技能。</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1.27、支持断点模拟功能，修改程序或更换刀具等，可由断点处继续模拟。（提供视频，视频应展示中途中断模拟功能，对程序进行修改或更换刀具后可从中断处继续模拟）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1.28、支持虚拟机床各种数据的实时显示，包括加工坐标、加工速度、刀具补偿信息等。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1.29、支持软件在Windows10、Windows11系统中稳定运行。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1.30、支持表面粗糙度值测量。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1.31、支持编辑、自动、MDI、DNC、手动、手轮、回零等操作模式。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1.32、支持单段、空运行、跳段、机床锁等功能。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1.33、支持工件尺寸测量功能，仿真精度可达到0.001mm，将工件尺寸数据化，并支持在线测量工件加工尺寸，提供尺寸数据分析库，对系统输入、输出数据进行采集分析，将输入的数控程序代码、刀具尺寸参数等进行采集，并提供数据分析。</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2、加工中心部分：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w:t>
            </w:r>
            <w:r>
              <w:rPr>
                <w:rFonts w:hint="eastAsia" w:ascii="宋体" w:hAnsi="宋体" w:cs="宋体"/>
                <w:color w:val="auto"/>
                <w:sz w:val="21"/>
                <w:highlight w:val="none"/>
                <w:lang w:eastAsia="zh-CN"/>
              </w:rPr>
              <w:t xml:space="preserve">加工中心配备发那科或三菱或西门子数控系统，模拟真实加工中心运动的全过程</w:t>
            </w:r>
            <w:r>
              <w:rPr>
                <w:rFonts w:hint="eastAsia" w:ascii="宋体" w:hAnsi="宋体" w:cs="宋体"/>
                <w:color w:val="auto"/>
                <w:sz w:val="21"/>
                <w:highlight w:val="none"/>
                <w:lang w:eastAsia="zh-CN"/>
              </w:rPr>
              <w:t xml:space="preserve">，操作、编程与真实设备完全一致，并配备常用的刀具、工量夹具，可根据加工需求自行选择刀具、夹具，支持在线进行编程操作、程序校验和加工模拟。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2.2.因分中对刀、编程和操作而导致尺寸的误差，可通过修改刀补来调整尺寸误差来达到工件尺寸的精度要求。</w:t>
            </w:r>
            <w:r/>
          </w:p>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2.3.支持ISO准备功能码（G代码）、辅助功能码（M代码）及其它指令代码，固定循环指令、子程序和宏程序编写、修改及运行。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2.4.机床配备高精密平口钳，定位精度高，可靠性好，支持在线测量功能。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2.5.支持NC代码与模型导入\导出，支持Mastercam、UG等CAD/CAM软件后置处理的NC文件进行模拟加工。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2.6.通过操作虚拟面板或真实面板实时驱动加工中心模型各部件运动，达到实时交互操作与编程的目的。</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2.7.可通过鼠标随时调整机床的视角和床身显示模式，旋转、缩放、平移的多角度地观测加工过程。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2.8.支持外轮廓、内轮廓、平面铣、台阶、沉孔、腰形槽、点孔、钻孔、铰孔等加工特征。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2.9.机床配备高精密平口钳和等高垫，在安装工件时可根据调整工件高度来匹配相应的等高垫。</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2.10，支持三爪卡盘和四爪卡盘装夹工件。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▲2.11.支持三分屏对刀视图，可直观地观察对刀过程。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2.12.配备24刀位的圆盘式刀库和机械手自动换刀装置。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2.13支持自定义毛坯形状、材料、尺寸、装夹方式、装夹尺寸等参数，建立虚拟加工切削模型。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2.14系统配备完整的加工刀具库，如面铣刀、立铣刀、钻头、铰刀、倒角刀等，也支持自定义刀具功能。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2.15支持刀具移动功能，可对已安装在刀柄上的刀具位置进行移动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2.16工件加工过程中，系统带有加工声效、冷却液、铁屑等。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▲2.17配备百分表、橡胶锤等校正工具，支持对平口钳、工件进行校正。</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2.18支持加载/导出毛坯、夹具、加工模型的文件信息。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2.19支持仿真过程中，随时缩放、旋转与平移等操作，无需中断仿真进程。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2.20支持运行检查程序中的语法错误、缺少元素错误、移动中的超行程错误等。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2.21支持工件安装过程中对工件进行旋转、翻转、上下和左右调整；</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▲2.22支持翻面加工。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2.23支持对钢、铝、铜等多种材料的加工仿真。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▲2.24配备移动刀具车，还原真实加工环境。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2.25系统配有刀具、工件安装等视频教程演示，促使学员更快掌握相应的专业技能。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2.26支持仿真加工过程中的刀具轨迹显示。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2.27支持虚拟机床各种数据的实时显示，包括加工坐标、加工速度、刀具补偿信息等。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2.28该系统软件可在Windows10、Windows11系统中长期稳定运行。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2.29支持NC代码导入导出与工件模型导出，支持Mastercam、UG等CAM软件后置处理的NC文件进行模拟加工。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2.30支持编辑、自动、MDI、DNC、手动、手轮、回零等操作模式；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2.31支持单段、空运行、跳段、机床锁等功能。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2.32支持自定义毛坯形状、材料、尺寸、装夹方式、装夹尺寸、调整参数等，建立虚拟加工切削模型。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2.33支持运动模拟检测加工过程中的错误、碰撞等，体验逼真的模拟和材料切除。</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2.34支持工件测量功能，测量精度可达0.001mm，将工件尺寸数据化，并支持在线测量工件加工尺寸，提供尺寸数据分析库，对系统输入、输出数据进行采集分析，将用户输入的数控程序代码、刀具尺寸参数等进行采集，并提供数据分析。</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代码校验系统：提供便捷执行的代码校验系统，用于检查和验证数控机床操作的指令序列（如G代码）的准确性和合法性。能够自动分析代码，识别潜在的错误、逻辑问题、语法错误以及与机床规格不符的指令，从而避免在加工过程中可能的损坏和误操作。系统有助于在老师或学生编写或生成代码后，通过自动检测问题报警提醒提供及时的修复建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4、过程与结果性数据采集系统：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4.1工艺过程数据采集：将所有设备、工件尺寸数据化，并支持在线编程、操作、测量、调试等，提供尺寸数据分析库。系统输入、输出数据采集分析，将用户输入的程序代码、运行参数等进行采集，并提供数据分析。系统对编程、操作以及工件加工过程中的全部输入、输出数据进行采集，并形成大数据库，作为后期智能分析的数据基础；</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4.2大数据智能分析：包括数据采集系统、操作评测系统、数据分析系统。数据采集系统将数控机床、机器人、三坐标、VGA、PLC等编程操作数据过程数据、软件设置的参数、加工过程数据，模型尺寸数据等进行采集，并应用智能算法的综合应用，使系统数据形成智能分析和反馈能力，根据学生学习分值较低的内容智能推送，精准分析技能培训重点、难点。</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三、虚拟机床博览&amp;自定义工厂模块</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3.1基于Unity引擎开发，结合3DMax制作高精度场景模型，实现“虚拟机床博览展览馆”与“自定义工厂”两大模块，确保场景真实感与沉浸式漫游、交互体验。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3.2虚拟机床博览馆模块需包含大厅展板（全局图、历史人物介绍、近代工业照片）、长廊高精度机床模型（如回转式六角车床、精密坐标镗床等），并配套图文历史资料，确保内容真实、教育性强；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3.3虚拟机床博览馆模块支持游客模式与自动/手动游览切换，用户可通过键盘、鼠标控制角色移动及视角调整，自由缩放查看图片与3D模型；交互操作需逻辑清晰（如通过科普平台入口引导系统访问），实时响应用户对模型、动画及图文信息的互动需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3.4自定义工厂模块按实际尺寸精准构建自动化设备模型。支持工业模型移动、放大、旋转 添加 删除等功能，并能完成工厂设备3D布局的能力。</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四、设备落地部署要求：按要求完成现场使用部署，包含强弱电改造，电源适配器，线材线缆桥架安装，约40米6平方电线电缆，辅材配件。</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8</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五轴数控一体机</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一、五轴数控实训一体机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▲1、数智CNC五轴加工实训平台配有包括但不限于SIEMENS840D、Heidenhain iTNC530等主流高端五轴数控系统品牌中的一种数控仿真操作系统和硬件仿真操作面板，能满足五轴数控程序的验证和加工仿真，并对工件加工程序进行详细的错误检查和分析，系统内部界面、数据及参数定义等，与真实机床的数控系统界面保持高度相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2、设备主体尺寸不大于95*70*100cm，符合常规人体工学使用场景。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3、数控机床仿真系统显示屏不小于31英寸，具备升降功能。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4、数控系统操作面板显示屏支持触摸功能，显示屏不小于24英寸。</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5、数控系统支持包括但不限于SIEMENS840D、Heidenhain iTNC530等主流高端品牌的五轴联动加工中心。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▲6、支持实体面板/触控面板、电子脉冲手轮与数字化机床模型实时交互操作。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7、支持机床数据实时显示，包括各轴坐标、移动速度、进给速度、主轴转速、刀具刀号、刀具补偿、加工程序等。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8、支持安装教学常用软件，例如UG、MasterCAM、AutoCAD等CAD/CAM软件。</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9、支持多功能教学：理论授课、五轴机床数字化加工、程序验证、计算机软件编程等综合应用。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10、系统模型高清细节呈现，采用工业级超高清渲染技术，确保模型满足高精度视觉需求。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11、支持云端采集NC程序与操作数据，包括职业素养、毛坯的装夹与定位、刀具的选择、加工参数的设定、工件质量以及加工效率，并能够体现常用的工作过程和操作过程等数据。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12、支持技能考核功能，能自动阅卷、自动评分，自动生成报告成绩单包含但不仅限于理论题目、技能操作与编程日志、参数设定与尺寸精度、操作规范与工艺过程等功能。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13、支持学生在线理论、技能操作考核，具备考试报名功能。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二、五轴数控虚拟仿真系统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1、系统配备包括但不限于SIEMENS840D、Heidenhain iTNC530等主流高端品牌的五轴加工中心机床模型，有X、Y、Z三个直线轴和B、C两个旋转轴，共五个坐标轴，具有五轴联动(RTCP)加工、多方向平面定轴加工、曲面加工、倾斜面加工功能。可实现一次性装夹，加工多个面，多次装夹翻面加工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系统模拟真实五轴数控机床加工过程，编程和操作方法与真实机床保持高度相同，并配备常用的加工刀具和工量夹具，可根据加工需求自行选择。可通过虚拟仿真操作面板在线进行编程操作、程序校验和加工仿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3、支持显示系统界面、机床运动部件、操作面板。支持回零、MDA、手动、手轮、自动、程序编辑、单段，机床门锁，刀库旋转等相关操作。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4、支持西门子数控系统面板操作模拟，同时支持验证和分析NC代码，快速坐标系设置、刀具设置、毛坯设置、夹具设置、刀具库导入导出。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5、所有机床结构运动和真实机床一致，包括直线插补运动、旋转运动、换刀机构运动、刀库旋转、刀具安装、夹具安装。</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6、支持准备功能码（G代码）、辅助功能码（M代码）、进给功能码（F代码）、转速功能码（S代码）、刀具功能码（T代码）及其它指令代码，支持固定循环指令和子程序编写、修改及运行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7、支持系统宏程序功能。</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8、支持断点模拟功能，修改程序或更换刀具等，可由断点处继续模拟加工，可恢复毛坯形状、装夹位置、刀具刀位、NC程序、机床操作及操作日志。（提供视频）</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9、配备五轴常用夹具，例如精密中心虎钳、三爪卡盘等，并确保加工时避免干涉，同时可对毛坯装夹位置进行调整。</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10、配备移动刀具车，还原真实加工环境，配备动画演示刀具、工件安装过程，促使学员更快掌握相应的专业技能，配备40个以上刀位的链式刀库和交换式机械手自动换刀装置。（提供视频）</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11、配备百分表、橡胶锤等校正工具，可实现平口钳校正等功能。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12、配备光电式寻边器、激光对刀仪、Z轴对刀仪、标准刀等工具。</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13、系统配备测头系统，支持对工件进行自动摆正以及坐标系设定。</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▲14、支持高灵敏检测功能，对机床加工运动的整个过程提供准确的碰撞检测并及时弹出报警提示，以视觉方式呈现，操作者可根据提示纠正操作或修改NC程序。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15、支持使用左右滑块来调节仿真速度。</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16、可通过鼠标操作调整机床的视角和床身显示模式，包括旋转、缩放、平移，多视角观测加工过程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17、支持三分屏对刀视图，可直观的观察对刀过程。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18、支持过程文件导入/导出，包括加载/导出毛坯、夹具、加工模型的文件信息。</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▲19、支持加工扰动量，可模拟实际加工过程因外界环境因素所导致的误差，通过修改相关参数来调整尺寸误差，从而达到工件尺寸的精度要求，掌握控制尺寸精度的方法。（关键指标）</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20、支持自定义毛坯材料、形状、尺寸、装夹方式、装夹尺寸等参数，建立虚拟加工切削模型。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21、支持工件安装过程中对工件进行上下左右平移、多角度旋转操作。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22、支持模拟加工声效、冷却液、铁屑等。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23、支持NC代码导入导出，支持操作面板手动编程或UG、Mastercam等CAM软件后处理生成的NC代码进行模拟加工。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24、支持曲面、型腔、内外轮廓、平面、钻孔、攻丝、铰孔、镗孔等加工特征。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25、支持加工数据实时显示，包括加工程序、坐标、速度、刀具补偿信息等。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26、支持刀具路径查看，自动通过不同颜色进行区分，方便刀具路径查看。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27、支持切削速度限制，快速移动限制，毛坯最大尺寸限制，行程限制等。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28、支持常规机床参数设定，包括最高转速、进给、移动速度、最大行程等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▲29、支持对五轴加工中心的加工过程进行数据采集分析。</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30、加工完成后的3D模型支持长度测量、角度测量、圆弧测量等线性尺寸测量，表面粗糙度值测量，测量精度达0.001mm。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31、支持软件在Windows10、Windows11系统中稳定运行。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三、数据中心</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1、工艺过程数据采集：定义毛坯参数，建立切削模型，指定装夹方式，关联加工工艺，数字化工件尺寸，支持在线测量精度，分析尺寸数据。采集数控程序代码、刀具参数等，形成大数据库。（提供视频）</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2、云端仿真面板数据采集：采集机床编程、操作面板及手轮数据，包括程序编辑、自动运行、MDI、手动操作，单段、回零等。</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3、云端数控机床仿真数据采集：涵盖理论素养考核、毛坯选用与装夹、刀具尺寸与选用、机床操作步骤、切削用量与工艺、工件质量与NC代码运行时间，以及撞刀后操作信息。（关键指标）</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4、实训过程中，实时采集操作数据，如工件装夹次数、毛坯消耗量、刀具安装次数、碰撞次数、加工工序与参数、工件质量、NC程序运行时间等。系统自动比对评分，及时反馈评判结果。</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5、大数据智能分析：平台包括数据采集、操作评测、数据分析系统。采集编程操作、软件参数、仿真过程数据等，应用智能算法，形成智能分析和反馈能力。（提供视频）</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6、根据学生学习分值较低的内容智能提示，精准分析技能培训重难点。后台考核标准支持自定义，单个成绩报告二维码查看，交卷即出数字成绩分析报告。</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7、系统基于云网端架构，云端存储与运算，支持高并发。设备配合用户账号身份识别唯一，可注册登录，进行机床操作模拟训练考核，查询成绩，实现手机绑定登录查询。支持工艺过程考核标准创建和发布，自动评分并生成数据报告和技能画像雷达图。基于云网端系统构架，实现云端数据采集与存储、网络数据通讯。支持在线查询和导出单和多成绩报告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▲8、</w:t>
            </w:r>
            <w:r>
              <w:rPr>
                <w:rFonts w:hint="eastAsia" w:ascii="宋体" w:hAnsi="宋体" w:cs="宋体"/>
                <w:color w:val="auto"/>
                <w:sz w:val="21"/>
                <w:highlight w:val="none"/>
                <w:lang w:eastAsia="zh-CN"/>
              </w:rPr>
              <w:t xml:space="preserve">提供不少于5套培训资料，并提供相应的售后服务培训与技术培训，</w:t>
            </w:r>
            <w:r>
              <w:rPr>
                <w:rFonts w:hint="eastAsia" w:ascii="宋体" w:hAnsi="宋体" w:cs="宋体"/>
                <w:b/>
                <w:bCs/>
                <w:color w:val="auto"/>
                <w:sz w:val="21"/>
                <w:highlight w:val="none"/>
                <w:lang w:eastAsia="zh-CN"/>
              </w:rPr>
              <w:t xml:space="preserve">并出具承诺书。</w:t>
            </w:r>
            <w:r>
              <w:rPr>
                <w:rFonts w:hint="eastAsia" w:ascii="宋体" w:hAnsi="宋体" w:cs="宋体"/>
                <w:b/>
                <w:bCs/>
                <w:color w:val="auto"/>
                <w:sz w:val="21"/>
                <w:highlight w:val="none"/>
                <w:lang w:eastAsia="zh-CN"/>
              </w:rPr>
              <w:br/>
            </w:r>
            <w:r>
              <w:rPr>
                <w:rFonts w:hint="eastAsia" w:ascii="宋体" w:hAnsi="宋体" w:cs="宋体"/>
                <w:color w:val="auto"/>
                <w:sz w:val="21"/>
                <w:highlight w:val="none"/>
                <w:lang w:eastAsia="zh-CN"/>
              </w:rPr>
              <w:t xml:space="preserve">四、AI大模型教学交互功能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1、内置AI大模型支持智能交互功能，支持≥70亿参数模型接入，具备≥20 tokens/秒的高并发生成能力，实现数控知识问答、代码建议等功能。</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2、支持大模型教学功能，根据学生考核情况，动态生成个性化学习建议与指导自动评估学员操作并输出改进建议。（提供视频）</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3、支持多模态语音控制功能，提供≤200ms低延迟响应，支持CNC操作指令的语义理解与自动补全功能，实现自然语言到数控指令的智能转换。</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4、支持基于材料特性自动计算切削参数并生成加工方案，同时根据加工参数（尺寸/材质/精度等）智能编排数控流程，直接调用仿真软件动态展示操作流程，通过实例教学实现"参数计算→方案生成→流程执行"的全链路可视化教学，强化学生对工艺设计与数控编程逻辑的理解。（提供视频）</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五、虚拟机床博览&amp;自定义工厂模块</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5.1基于Unity引擎开发，结合3DMax制作高精度场景模型，实现“虚拟机床博览展览馆”与“自定义工厂”两大模块，确保场景真实感与沉浸式漫游、交互体验。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▲5.2虚拟机床博览馆模块需包含大厅展板（全局图、历史人物介绍、近代工业照片）、长廊高精度机床模型（如回转式六角车床、精密坐标镗床等），并配套图文历史资料，确保内容真实、教育性强；</w:t>
            </w:r>
            <w:r>
              <w:rPr>
                <w:rFonts w:hint="eastAsia" w:ascii="宋体" w:hAnsi="宋体" w:cs="宋体"/>
                <w:color w:val="auto"/>
                <w:sz w:val="21"/>
                <w:highlight w:val="none"/>
                <w:lang w:eastAsia="zh-CN"/>
              </w:rPr>
              <w:br/>
            </w:r>
            <w:r>
              <w:rPr>
                <w:rFonts w:hint="eastAsia" w:ascii="宋体" w:hAnsi="宋体" w:cs="宋体"/>
                <w:bCs/>
                <w:color w:val="auto"/>
                <w:sz w:val="21"/>
                <w:highlight w:val="none"/>
                <w:lang w:eastAsia="zh-CN"/>
              </w:rPr>
              <w:t xml:space="preserve">●</w:t>
            </w:r>
            <w:r>
              <w:rPr>
                <w:rFonts w:hint="eastAsia" w:ascii="宋体" w:hAnsi="宋体" w:cs="宋体"/>
                <w:color w:val="auto"/>
                <w:sz w:val="21"/>
                <w:highlight w:val="none"/>
                <w:lang w:eastAsia="zh-CN"/>
              </w:rPr>
              <w:t xml:space="preserve">5.3虚拟机床博览馆模块支持游客模式与自动/手动游览切换，用户可通过键盘、鼠标控制角色移动及视角调整，自由缩放查看图片与3D模型；交互操作需逻辑清晰（如通过科普平台入口引导系统访问），实时响应用户对模型、动画及图文信息的互动需求。（提供视频）</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▲5.4自定义工厂模块按实际尺寸精准构建自动化设备模型。支持工业模型移动、放大、旋转 添加 删除等功能，并能完成工厂设备3D布局的能力。</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六、设备落地部署要求：按要求完成现场使用部署，包含强弱电改造，电源适配器，线材线缆桥架安装，约40米6平方电线电缆，辅材配件。</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9</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空压站房（供气系统）</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一、技术参数：不低于20kW永磁变频螺杆机，满足整个机械实验中心气动要求，气路需要部署到每个设备现场部署场地，支撑每个设备正常运转。</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排气量：不小于3m³/min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排气压力：不小于0.8Mpa</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马达功率：不小于15kW</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冷却方式：风冷</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电压：380V/50Hz</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噪音：不大于65 分贝</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启动方式：永磁变频软启动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储气罐：容积不小于1000L</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冷干机型号：处理量不小于2.5m³/min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压力漏点：0- 10 °</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工作压力：不小于1.0Mpa</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精密过滤器：处理量不小于2.6m³/min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工作压力：1.0Mpa</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二、设备部署要求：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1、按要求完成现场使用部署，包含强弱电改造，包含电源适配器以及安装辅材配件，约50米4平方电线电缆；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2、含现场气路的部署（约100米镀锌管）、管道、阀门等，桥架安装。</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三、建筑与布局要求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1、净高：机器间屋架下弦≥4 m，满足起吊 +0.5 m余量。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净距与通道：设备与墙≥0.8～1 m，设备间≥1.0～1.2 m，主通道≥1.5 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2、基础：独立钢筋混凝土基础，与建筑地基隔离；承重≥设备总重 ×1.2，防沉降。</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3、门与疏散：防火门，尺寸满足最大设备进出；离心站≥2 个安全出口。</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4、地面：耐磨防油，坡度 1%～2% 利于排水。</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四、电气系统要求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供电容量：按所有设备总功率 ×1.25裕量，设独立配电柜。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电压 / 频率：380 V/50 Hz，电压波动≤±5%。</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接地：接地电阻≤4 </w:t>
            </w:r>
            <w:r>
              <w:rPr>
                <w:rFonts w:hint="eastAsia" w:ascii="宋体" w:hAnsi="宋体" w:cs="宋体"/>
                <w:color w:val="auto"/>
                <w:sz w:val="21"/>
                <w:highlight w:val="none"/>
              </w:rPr>
              <w:t xml:space="preserve">Ω</w:t>
            </w:r>
            <w:r>
              <w:rPr>
                <w:rFonts w:hint="eastAsia" w:ascii="宋体" w:hAnsi="宋体" w:cs="宋体"/>
                <w:color w:val="auto"/>
                <w:sz w:val="21"/>
                <w:highlight w:val="none"/>
                <w:lang w:eastAsia="zh-CN"/>
              </w:rPr>
              <w:t xml:space="preserve">，设防雷与等电位连接。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照明：一般区≥300 lux，操作 / 检修区≥500 lux。</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保护：每台机组独立断路器、过载 / 短路 / 缺相保护。</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五、管路系统要求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主管流速：≤15 m/s（压力＜1.5 MPa），支管≤10 m/s。</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坡度：主管 1%～2% 坡向排水点，最低点设自动排污阀。</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材质：不锈钢 / 铝合金 / 无缝钢管，耐压≥1.5 倍工作压力。</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补偿：长管路设膨胀节，固定支架间距符合规范。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六、通风与降噪参数要求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通风：机械通风换气次数≥15 次 /h，进风清洁、排风直出室外。</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噪声：站房内≤85 dB(A)，厂界≤65 dB(A)；设消声器、隔声罩、减振基础。</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七、安全与监测参数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安全阀：开启压力为1.05～1.1 倍工作压力，定期校验。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监测：压力、温度、流量、露点、油位、振动、电流在线监测，超压 / 超温报警停机。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消防：配置干粉灭火器，严禁明火，电气防火防爆</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10</w:t>
            </w:r>
            <w:r/>
          </w:p>
        </w:tc>
        <w:tc>
          <w:tcPr>
            <w:tcBorders>
              <w:top w:val="none" w:color="000000" w:sz="4" w:space="0"/>
              <w:left w:val="single" w:color="auto" w:sz="4" w:space="0"/>
              <w:bottom w:val="single" w:color="auto" w:sz="4" w:space="0"/>
              <w:right w:val="single" w:color="auto" w:sz="4" w:space="0"/>
            </w:tcBorders>
            <w:tcW w:w="1203" w:type="dxa"/>
            <w:vAlign w:val="center"/>
            <w:vMerge w:val="restart"/>
            <w:textDirection w:val="lrTb"/>
            <w:noWrap w:val="false"/>
          </w:tcPr>
          <w:p>
            <w:pPr>
              <w:ind w:firstLine="0"/>
              <w:jc w:val="center"/>
              <w:spacing w:line="240" w:lineRule="auto"/>
              <w:rPr>
                <w:rFonts w:ascii="宋体" w:hAnsi="宋体" w:cs="宋体"/>
                <w:color w:val="auto"/>
                <w:sz w:val="21"/>
                <w:highlight w:val="none"/>
              </w:rPr>
            </w:pPr>
            <w:r>
              <w:rPr>
                <w:rFonts w:hint="eastAsia" w:ascii="宋体" w:hAnsi="宋体" w:cs="宋体"/>
                <w:color w:val="auto"/>
                <w:sz w:val="21"/>
                <w:highlight w:val="none"/>
              </w:rPr>
              <w:t xml:space="preserve">航吊</w:t>
            </w:r>
            <w:r/>
          </w:p>
        </w:tc>
        <w:tc>
          <w:tcPr>
            <w:tcBorders>
              <w:top w:val="none" w:color="000000" w:sz="4" w:space="0"/>
              <w:left w:val="single" w:color="auto" w:sz="4" w:space="0"/>
              <w:bottom w:val="single" w:color="auto" w:sz="4" w:space="0"/>
              <w:right w:val="single" w:color="auto" w:sz="4" w:space="0"/>
            </w:tcBorders>
            <w:tcW w:w="8041" w:type="dxa"/>
            <w:vAlign w:val="center"/>
            <w:vMerge w:val="restart"/>
            <w:textDirection w:val="lrTb"/>
            <w:noWrap w:val="false"/>
          </w:tcPr>
          <w:p>
            <w:pPr>
              <w:ind w:firstLine="0"/>
              <w:spacing w:line="240" w:lineRule="auto"/>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一、系统组成：包含起重机、起重机主梁、起重机端梁2件、电动葫芦、大车运行机构、整机电气配电、控制系统等；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设计和制造标准：按中华人民共和国国家标准（包括《起重机设计规范》）及相应的全国性行业标准或者国际通用标准进行设计制造。适用标准包括但不限于以下清单所列标准：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3811 起重机设计规范</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 1306 电动单梁桥式起重机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6067 起重机安全规程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5905 起重机试验规范和程序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JB/T9008.1  钢丝绳电动葫芦型式和基本参数</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JB/T9008.3   丝绳电动葫芦用锥形转子电动机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10051 起重吊钩</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 6392 起重机车轮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9286 色漆和清漆 划格试验</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985 气焊、焊条电弧焊、气体保护焊和高能束焊的推荐坡口</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986 埋弧焊焊缝坡口的基本型式及尺寸</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1228-1321 钢结构用高强度大六角头螺栓、螺母、垫圈</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 4315 起重机械电控设备</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 8437 起重机械无线遥控装置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JB/T4315 起重机电控设备</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GB1497-85   低压电器基本标准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700 碳素结构钢</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GB/T 5118 热强钢焊条</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二、技术参数要求：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电动单梁桥式起重机；</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起重量：不低于2.8 t；</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跨度不小于8 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起重机工作级别不低于A3；</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速度要求：起升不低于8 m/min；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    小车不低于20 m/min；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    大车不低于20 m/min；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起升高度不小于6 m；</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大车轨道：</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最大轮压：不低于20.8KN；</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操纵形式：地面操纵；</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大车滑线：安全滑触线；</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输入电源三相电供电，380V±10V  50Hz；</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三、起重机技术要求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LD 型电动单梁起重机（以下简称起重机）是与电动葫芦配套使用的一种有轨运行的轻小型起重设备。在无火灾、爆炸危险和腐蚀性介质的环境中工作，禁止吊运熔化金属，有毒、易燃、易爆物品。本产品广泛用于机械制造、装配、仓库等场所。</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1机械部分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1.1起重机钢结构</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主梁采用钢板压延成形的U型槽或拼接箱型。</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使用单梁主梁U型槽整体成型技术，减少了中间对接焊缝，保证主梁的结构强度，横梁也是用钢板压延成U型槽后组焊成箱形梁，便于存放及运输，主、端梁采用高强度螺栓连接。</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主要承载构件如：主梁、端梁材料为Q235-B钢材，焊接工艺和焊缝的检查严格遵守相应的规范和标准。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1.2大车运行机构</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 大车运行机构采用分别驱动形式。由主、被动轮组、减速器和电动机组成。</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   电动机为起重机专用软启动电动机，额定电压380V，额定频率50Hz。</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自带制动器，常闭式设计，通电时打开，断电时处于制动状态。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1.3电动葫芦</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电动葫芦具有垂直升降和运行功能，由起升电机、减速器、卷筒装置、吊钩装置、电动小车和电控箱组成。</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起升电机：通电持续率25%，每小时启动次数为120次，适应重复、短时、间歇、频繁正反旋转、频繁启动与制动；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起升减速器：自动齿轮加工中心生产，渗碳热处理。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卷筒：无缝钢管制造，加工有绳槽。外壳用钢板焊制而成。配合高强度钢丝绳。装有限位器导杆装置。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导绳器有效保证钢丝绳缠绕整齐，配合限位杆确保电动葫芦起升安全。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吊钩： 吊钩采用20#钢模锻制成。采用推力轴承通过吊钩横梁与外壳连接，吊钩转动灵活钩口设有弹性安全卡。</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运行机构：电动机为起重机专用软启动电动机，额定电压380V，额定频率50Hz。自带制动器，常闭式设计，通电时打开，断电时处于制动状态。</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车轮：车轮强度高，承载力大，车轮踏面及轮缘部分热处理表面硬化。</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2电气部分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起重机以间歇、重复工作方式通过吊钩或其他取物装置使物品在三维空间实现起升、下降和水平位移，其电器设备主要由电控箱、行程开关、手持式控制器及电缆组成，具有失压、限位、功能。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手持式控制器用来控制起重机的起升、下降、小车运行和大车运行动作，分悬挂式手电门或遥控器两种。手电门或遥控器的控制电压36V，根据上面所示的方向符号，正确按压按键，通过电控箱内接触器的吸合与断开，控制起重机的动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当采用两种或两种以上控制方式时，设有互锁功能，确保在任何给定时间内，只有一种控制方式有效，另一种作为备用。</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操作设备</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手电门操作按钮设有机械和电气联锁保护，防止两个相反的动作同时发生。</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遥控器：无线遥控器设有发射器和接收器，发射器由编码电路和发射电路组成，接收器由接收电路和译码电路组成。接收器安装在随机控制箱内，操作人员携带发射器，可自由走  动并选择最佳安全视觉位置进行操作。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安全装置：安全装置是防止起重机事故的必要设置，包括限制运动行程和工作位置的装置、联锁保护装置等。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急停按钮：手电门或遥控器上均设有蘑菇状急停按钮，在操作过程中，若出现起升、大小车运行动作与指令不符或其他意外情况时，可按下【急停按钮】，停止所有动作，然后排查原因。</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按下红色急停按钮 =&gt; 切断起重机主回路电源</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顺时针旋转急停按钮 =&gt; 释放该按钮，启动设备</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起升限位：电动葫芦起升机构采用断火限位器和重锤式限位器两种形式，断火限位器为升降双向限位结构，利用导绳器的横向移动推动限位杆碰撞限位开关达到上下的限位功能。</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 运行限位：大车运行限位开关采用机械式限位，固定在一侧端梁的两端，当安装在厂房侧面的安全尺触碰到限位开关的触头时，即可断开控制回路，只有反方向操作时，机构才能动作。    </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缓冲器：起重机运行机构和电动葫芦运行机构均设有缓冲器，可缓解起重机及葫芦运动到终点时相互碰撞时的冲击，有效吸收碰撞能量。</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其他保护：除此之外，起重机还设有各种电气保护：</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相序保护——当电路中相序与指定相序不符（错相或缺相）时，相序继电器将触发动作，切断控制电路，从而达到切断电动机电源、保护电动机的目的。</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线路保护——所有外部线路都具有短路或接地保护。</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失压保护——当供电电源中断后，凡涉及安全及不宜自动开启的用电设备均应处于断电状态，避免恢复供电后机构自行动作。</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联锁保护——采用多种操纵方式时，各操纵点之间相互联锁，保证任一时刻只有一个操纵点处于工作状态，每个操纵点均设有紧急断电装置。</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四、部署要求：按要求完成现场使用部署，包含强电改造，包含线材线缆以及安装辅材配件，约62米4平方电缆。</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五、培训</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在采购人现场调试、试生产阶段，需为采购人各种人员进行各项所需培训，供应商应制定详尽的技术培训方案，保证采购人各类（分类及数量由采购人确定）人员满足工艺、设备技能需求。</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1.培训内容：产品的工作原理、结构性能、使用注意事项、操作方法、程序及其他相关内容；</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2.培训教材：培训两周前免费提供维修手册、工作原理图等；</w:t>
            </w:r>
            <w:r>
              <w:rPr>
                <w:rFonts w:hint="eastAsia" w:ascii="宋体" w:hAnsi="宋体" w:cs="宋体"/>
                <w:color w:val="auto"/>
                <w:sz w:val="21"/>
                <w:highlight w:val="none"/>
                <w:lang w:eastAsia="zh-CN"/>
              </w:rPr>
              <w:br/>
            </w:r>
            <w:r>
              <w:rPr>
                <w:rFonts w:hint="eastAsia" w:ascii="宋体" w:hAnsi="宋体" w:cs="宋体"/>
                <w:color w:val="auto"/>
                <w:sz w:val="21"/>
                <w:highlight w:val="none"/>
                <w:lang w:eastAsia="zh-CN"/>
              </w:rPr>
              <w:t xml:space="preserve">3.培训方式：在设计、制造、预验收、终验收过程中，采购人可以派若干人员去供应商受训（或供应商到采购人），供应商应派出较高技术人员讲课，使采购人达到具有独立操作及排除故障的能力。</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1203" w:type="dxa"/>
            <w:vAlign w:val="center"/>
            <w:vMerge w:val="continue"/>
            <w:textDirection w:val="lrTb"/>
            <w:noWrap w:val="false"/>
          </w:tcPr>
          <w:p>
            <w:pPr>
              <w:ind w:firstLine="0"/>
              <w:jc w:val="center"/>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c>
          <w:tcPr>
            <w:tcBorders>
              <w:top w:val="none" w:color="000000" w:sz="4" w:space="0"/>
              <w:left w:val="single" w:color="auto" w:sz="4" w:space="0"/>
              <w:bottom w:val="single" w:color="auto" w:sz="4" w:space="0"/>
              <w:right w:val="single" w:color="auto" w:sz="4" w:space="0"/>
            </w:tcBorders>
            <w:tcW w:w="8041" w:type="dxa"/>
            <w:vAlign w:val="center"/>
            <w:vMerge w:val="continue"/>
            <w:textDirection w:val="lrTb"/>
            <w:noWrap w:val="false"/>
          </w:tcPr>
          <w:p>
            <w:pPr>
              <w:ind w:firstLine="0"/>
              <w:spacing w:line="240" w:lineRule="auto"/>
              <w:rPr>
                <w:rFonts w:ascii="宋体" w:hAnsi="宋体" w:cs="宋体"/>
                <w:color w:val="auto"/>
                <w:sz w:val="21"/>
                <w:highlight w:val="none"/>
                <w:lang w:eastAsia="zh-CN"/>
              </w:rPr>
            </w:pPr>
            <w:r>
              <w:rPr>
                <w:rFonts w:ascii="宋体" w:hAnsi="宋体" w:cs="宋体"/>
                <w:color w:val="auto"/>
                <w:sz w:val="21"/>
                <w:highlight w:val="none"/>
                <w:lang w:eastAsia="zh-CN"/>
              </w:rPr>
            </w:r>
            <w:r/>
          </w:p>
        </w:tc>
      </w:tr>
    </w:tbl>
    <w:p>
      <w:pPr>
        <w:ind w:firstLine="0"/>
        <w:spacing w:before="12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3.通用零部件质量要求（本项目全部机床设备通用，实质性响应条款）</w:t>
      </w:r>
      <w:r/>
    </w:p>
    <w:p>
      <w:pPr>
        <w:ind w:firstLine="480"/>
        <w:rPr>
          <w:color w:val="auto"/>
          <w:szCs w:val="24"/>
          <w:highlight w:val="none"/>
          <w:lang w:eastAsia="zh-CN"/>
        </w:rPr>
      </w:pPr>
      <w:r>
        <w:rPr>
          <w:rFonts w:hint="eastAsia"/>
          <w:color w:val="auto"/>
          <w:szCs w:val="24"/>
          <w:highlight w:val="none"/>
          <w:lang w:eastAsia="zh-CN"/>
        </w:rPr>
        <w:t xml:space="preserve">（</w:t>
      </w:r>
      <w:r>
        <w:rPr>
          <w:color w:val="auto"/>
          <w:szCs w:val="24"/>
          <w:highlight w:val="none"/>
          <w:lang w:eastAsia="zh-CN"/>
        </w:rPr>
        <w:t xml:space="preserve">1</w:t>
      </w:r>
      <w:r>
        <w:rPr>
          <w:rFonts w:hint="eastAsia"/>
          <w:color w:val="auto"/>
          <w:szCs w:val="24"/>
          <w:highlight w:val="none"/>
          <w:lang w:eastAsia="zh-CN"/>
        </w:rPr>
        <w:t xml:space="preserve">）</w:t>
      </w:r>
      <w:r>
        <w:rPr>
          <w:color w:val="auto"/>
          <w:szCs w:val="24"/>
          <w:highlight w:val="none"/>
          <w:lang w:eastAsia="zh-CN"/>
        </w:rPr>
        <w:t xml:space="preserve">本项目全部机床设备，除本招标文件明确的性能参数指标外，主轴、滚珠丝杠、直线滚动导轨、丝杠轴承、刀库、伺服电机、伺服驱动器、润滑系统、气动元件、电气元器件、光栅尺、脉冲编码器、脉冲电源等关键零部件，必须选用行业主流知名品牌，零部件综合品质、精度等级、可靠性、使用寿命</w:t>
      </w:r>
      <w:r>
        <w:rPr>
          <w:rStyle w:val="926"/>
          <w:color w:val="auto"/>
          <w:szCs w:val="24"/>
          <w:highlight w:val="none"/>
          <w:lang w:eastAsia="zh-CN"/>
        </w:rPr>
        <w:t xml:space="preserve">不得低于本招标文件各设备技术条款列明的参考品牌档次</w:t>
      </w:r>
      <w:r>
        <w:rPr>
          <w:color w:val="auto"/>
          <w:szCs w:val="24"/>
          <w:highlight w:val="none"/>
          <w:lang w:eastAsia="zh-CN"/>
        </w:rPr>
        <w:t xml:space="preserve">。</w:t>
      </w:r>
      <w:r/>
    </w:p>
    <w:p>
      <w:pPr>
        <w:ind w:firstLine="480"/>
        <w:rPr>
          <w:color w:val="auto"/>
          <w:szCs w:val="24"/>
          <w:highlight w:val="none"/>
          <w:lang w:eastAsia="zh-CN"/>
        </w:rPr>
      </w:pPr>
      <w:r>
        <w:rPr>
          <w:rFonts w:hint="eastAsia"/>
          <w:color w:val="auto"/>
          <w:szCs w:val="24"/>
          <w:highlight w:val="none"/>
          <w:lang w:eastAsia="zh-CN"/>
        </w:rPr>
        <w:t xml:space="preserve">（</w:t>
      </w:r>
      <w:r>
        <w:rPr>
          <w:color w:val="auto"/>
          <w:szCs w:val="24"/>
          <w:highlight w:val="none"/>
          <w:lang w:eastAsia="zh-CN"/>
        </w:rPr>
        <w:t xml:space="preserve">2</w:t>
      </w:r>
      <w:r>
        <w:rPr>
          <w:rFonts w:hint="eastAsia"/>
          <w:color w:val="auto"/>
          <w:szCs w:val="24"/>
          <w:highlight w:val="none"/>
          <w:lang w:eastAsia="zh-CN"/>
        </w:rPr>
        <w:t xml:space="preserve">）投标供应商</w:t>
      </w:r>
      <w:r>
        <w:rPr>
          <w:color w:val="auto"/>
          <w:szCs w:val="24"/>
          <w:highlight w:val="none"/>
          <w:lang w:eastAsia="zh-CN"/>
        </w:rPr>
        <w:t xml:space="preserve">可选用招标文件给出的参考品牌；</w:t>
      </w:r>
      <w:r>
        <w:rPr>
          <w:rStyle w:val="926"/>
          <w:color w:val="auto"/>
          <w:szCs w:val="24"/>
          <w:highlight w:val="none"/>
          <w:lang w:eastAsia="zh-CN"/>
        </w:rPr>
        <w:t xml:space="preserve">若选用非参考品牌零部件，</w:t>
      </w:r>
      <w:r>
        <w:rPr>
          <w:rStyle w:val="926"/>
          <w:rFonts w:hint="eastAsia"/>
          <w:color w:val="auto"/>
          <w:szCs w:val="24"/>
          <w:highlight w:val="none"/>
          <w:lang w:eastAsia="zh-CN"/>
        </w:rPr>
        <w:t xml:space="preserve">投标供应商</w:t>
      </w:r>
      <w:r>
        <w:rPr>
          <w:rStyle w:val="926"/>
          <w:color w:val="auto"/>
          <w:szCs w:val="24"/>
          <w:highlight w:val="none"/>
          <w:lang w:eastAsia="zh-CN"/>
        </w:rPr>
        <w:t xml:space="preserve">必须提供完整有效的证明材料：原厂规格书、精度检测报告</w:t>
      </w:r>
      <w:r>
        <w:rPr>
          <w:rStyle w:val="926"/>
          <w:rFonts w:hint="eastAsia"/>
          <w:color w:val="auto"/>
          <w:szCs w:val="24"/>
          <w:highlight w:val="none"/>
          <w:lang w:eastAsia="zh-CN"/>
        </w:rPr>
        <w:t xml:space="preserve">（</w:t>
      </w:r>
      <w:r>
        <w:rPr>
          <w:rFonts w:hint="eastAsia" w:ascii="宋体" w:hAnsi="宋体" w:cs="微软雅黑 Light"/>
          <w:b/>
          <w:bCs/>
          <w:color w:val="auto"/>
          <w:highlight w:val="none"/>
          <w:lang w:eastAsia="zh-CN"/>
        </w:rPr>
        <w:t xml:space="preserve">具有CMA标识的检测报告</w:t>
      </w:r>
      <w:r>
        <w:rPr>
          <w:rStyle w:val="926"/>
          <w:rFonts w:hint="eastAsia"/>
          <w:color w:val="auto"/>
          <w:szCs w:val="24"/>
          <w:highlight w:val="none"/>
          <w:lang w:eastAsia="zh-CN"/>
        </w:rPr>
        <w:t xml:space="preserve">）</w:t>
      </w:r>
      <w:r>
        <w:rPr>
          <w:rStyle w:val="926"/>
          <w:color w:val="auto"/>
          <w:szCs w:val="24"/>
          <w:highlight w:val="none"/>
          <w:lang w:eastAsia="zh-CN"/>
        </w:rPr>
        <w:t xml:space="preserve">、国内高校同类实训项目应用业绩证明，以此证明零部件规格、性能、精度等级、可靠性、使用寿命不低于参考品牌同等档次；无法提供有效证明材料，视为本项不满足，按负偏离处理。</w:t>
      </w:r>
      <w:r/>
    </w:p>
    <w:p>
      <w:pPr>
        <w:ind w:firstLine="480"/>
        <w:rPr>
          <w:color w:val="auto"/>
          <w:szCs w:val="24"/>
          <w:highlight w:val="none"/>
          <w:lang w:eastAsia="zh-CN"/>
        </w:rPr>
      </w:pPr>
      <w:r>
        <w:rPr>
          <w:rFonts w:hint="eastAsia"/>
          <w:color w:val="auto"/>
          <w:szCs w:val="24"/>
          <w:highlight w:val="none"/>
          <w:lang w:eastAsia="zh-CN"/>
        </w:rPr>
        <w:t xml:space="preserve">（</w:t>
      </w:r>
      <w:r>
        <w:rPr>
          <w:color w:val="auto"/>
          <w:szCs w:val="24"/>
          <w:highlight w:val="none"/>
          <w:lang w:eastAsia="zh-CN"/>
        </w:rPr>
        <w:t xml:space="preserve">3</w:t>
      </w:r>
      <w:r>
        <w:rPr>
          <w:rFonts w:hint="eastAsia"/>
          <w:color w:val="auto"/>
          <w:szCs w:val="24"/>
          <w:highlight w:val="none"/>
          <w:lang w:eastAsia="zh-CN"/>
        </w:rPr>
        <w:t xml:space="preserve">）</w:t>
      </w:r>
      <w:r>
        <w:rPr>
          <w:color w:val="auto"/>
          <w:szCs w:val="24"/>
          <w:highlight w:val="none"/>
          <w:lang w:eastAsia="zh-CN"/>
        </w:rPr>
        <w:t xml:space="preserve">全部关键零部件必须为</w:t>
      </w:r>
      <w:r>
        <w:rPr>
          <w:rStyle w:val="926"/>
          <w:color w:val="auto"/>
          <w:szCs w:val="24"/>
          <w:highlight w:val="none"/>
          <w:lang w:eastAsia="zh-CN"/>
        </w:rPr>
        <w:t xml:space="preserve">全新原厂正品，严禁翻新件、拆机件、改装件、贴牌劣质件</w:t>
      </w:r>
      <w:r>
        <w:rPr>
          <w:color w:val="auto"/>
          <w:szCs w:val="24"/>
          <w:highlight w:val="none"/>
          <w:lang w:eastAsia="zh-CN"/>
        </w:rPr>
        <w:t xml:space="preserve">。所有零部件可提供原厂出厂合格证明；不允许装配二手翻新零配件。采购人保留出厂预验收、到货开箱验收环节，对关键零部件实物铭牌、序列号进行核对溯源的权利；核查发现翻新、拆机、贴牌零部件，直接判定验收不合格，采购人有权拒收全部或对应设备，并追究中标供应商全部违约责任。</w:t>
      </w:r>
      <w:r/>
    </w:p>
    <w:p>
      <w:pPr>
        <w:ind w:firstLine="480"/>
        <w:rPr>
          <w:color w:val="auto"/>
          <w:szCs w:val="24"/>
          <w:highlight w:val="none"/>
          <w:lang w:eastAsia="zh-CN"/>
        </w:rPr>
      </w:pPr>
      <w:r>
        <w:rPr>
          <w:rFonts w:hint="eastAsia"/>
          <w:color w:val="auto"/>
          <w:szCs w:val="24"/>
          <w:highlight w:val="none"/>
          <w:lang w:eastAsia="zh-CN"/>
        </w:rPr>
        <w:t xml:space="preserve">（4）</w:t>
      </w:r>
      <w:r>
        <w:rPr>
          <w:color w:val="auto"/>
          <w:szCs w:val="24"/>
          <w:highlight w:val="none"/>
          <w:lang w:eastAsia="zh-CN"/>
        </w:rPr>
        <w:t xml:space="preserve">实际装机的滚珠丝杠、直线导轨、轴承等传动件</w:t>
      </w:r>
      <w:r>
        <w:rPr>
          <w:rStyle w:val="926"/>
          <w:color w:val="auto"/>
          <w:szCs w:val="24"/>
          <w:highlight w:val="none"/>
          <w:lang w:eastAsia="zh-CN"/>
        </w:rPr>
        <w:t xml:space="preserve">精度等级不得低于投标文件填报精度等级，严禁投标填报高等级、实际装机降档配置</w:t>
      </w:r>
      <w:r>
        <w:rPr>
          <w:color w:val="auto"/>
          <w:szCs w:val="24"/>
          <w:highlight w:val="none"/>
          <w:lang w:eastAsia="zh-CN"/>
        </w:rPr>
        <w:t xml:space="preserve">。</w:t>
      </w:r>
      <w:r/>
    </w:p>
    <w:p>
      <w:pPr>
        <w:ind w:firstLine="480"/>
        <w:rPr>
          <w:color w:val="auto"/>
          <w:szCs w:val="24"/>
          <w:highlight w:val="none"/>
          <w:lang w:eastAsia="zh-CN"/>
        </w:rPr>
      </w:pPr>
      <w:r>
        <w:rPr>
          <w:rFonts w:hint="eastAsia"/>
          <w:color w:val="auto"/>
          <w:szCs w:val="24"/>
          <w:highlight w:val="none"/>
          <w:lang w:eastAsia="zh-CN"/>
        </w:rPr>
        <w:t xml:space="preserve">（5）</w:t>
      </w:r>
      <w:r>
        <w:rPr>
          <w:color w:val="auto"/>
          <w:szCs w:val="24"/>
          <w:highlight w:val="none"/>
          <w:lang w:eastAsia="zh-CN"/>
        </w:rPr>
        <w:t xml:space="preserve">数控系统、伺服驱动单元、脉冲电源等核心电控部件须为全新原厂成套产品；严禁拆机控制器、翻新伺服驱动器；设备电气柜布线、接地、防护等级满足</w:t>
      </w:r>
      <w:r>
        <w:rPr>
          <w:rFonts w:hint="eastAsia"/>
          <w:color w:val="auto"/>
          <w:szCs w:val="24"/>
          <w:highlight w:val="none"/>
          <w:lang w:eastAsia="zh-CN"/>
        </w:rPr>
        <w:t xml:space="preserve">GB/T 5226.1-2019</w:t>
      </w:r>
      <w:r>
        <w:rPr>
          <w:color w:val="auto"/>
          <w:szCs w:val="24"/>
          <w:highlight w:val="none"/>
          <w:lang w:eastAsia="zh-CN"/>
        </w:rPr>
        <w:t xml:space="preserve">《</w:t>
      </w:r>
      <w:r>
        <w:rPr>
          <w:rFonts w:hint="eastAsia"/>
          <w:color w:val="auto"/>
          <w:szCs w:val="24"/>
          <w:highlight w:val="none"/>
          <w:lang w:eastAsia="zh-CN"/>
        </w:rPr>
        <w:t xml:space="preserve">机械电气安全 机械电气设备 第1部分：通用技术条件</w:t>
      </w:r>
      <w:r>
        <w:rPr>
          <w:color w:val="auto"/>
          <w:szCs w:val="24"/>
          <w:highlight w:val="none"/>
          <w:lang w:eastAsia="zh-CN"/>
        </w:rPr>
        <w:t xml:space="preserve">》国标强制要求。</w:t>
      </w:r>
      <w:r/>
    </w:p>
    <w:p>
      <w:pPr>
        <w:ind w:firstLine="480"/>
        <w:rPr>
          <w:color w:val="auto"/>
          <w:szCs w:val="24"/>
          <w:highlight w:val="none"/>
          <w:lang w:eastAsia="zh-CN"/>
        </w:rPr>
      </w:pPr>
      <w:r>
        <w:rPr>
          <w:rFonts w:hint="eastAsia"/>
          <w:color w:val="auto"/>
          <w:szCs w:val="24"/>
          <w:highlight w:val="none"/>
          <w:lang w:eastAsia="zh-CN"/>
        </w:rPr>
        <w:t xml:space="preserve">（6）</w:t>
      </w:r>
      <w:r>
        <w:rPr>
          <w:color w:val="auto"/>
          <w:szCs w:val="24"/>
          <w:highlight w:val="none"/>
          <w:lang w:eastAsia="zh-CN"/>
        </w:rPr>
        <w:t xml:space="preserve">零部件溯源资料：中标供应商设备供货时，须随机提供</w:t>
      </w:r>
      <w:r>
        <w:rPr>
          <w:rStyle w:val="926"/>
          <w:color w:val="auto"/>
          <w:szCs w:val="24"/>
          <w:highlight w:val="none"/>
          <w:lang w:eastAsia="zh-CN"/>
        </w:rPr>
        <w:t xml:space="preserve">全部关键零部件原厂合格证、关键零部件序列号清单</w:t>
      </w:r>
      <w:r>
        <w:rPr>
          <w:color w:val="auto"/>
          <w:szCs w:val="24"/>
          <w:highlight w:val="none"/>
          <w:lang w:eastAsia="zh-CN"/>
        </w:rPr>
        <w:t xml:space="preserve">，实物铭牌序列号必须和资料清单一一对应，该资料为验收必备资料；无法提供或者实物与清单不一致的，直接判定验收不合格。</w:t>
      </w:r>
      <w:r/>
    </w:p>
    <w:p>
      <w:pPr>
        <w:ind w:firstLine="0"/>
        <w:spacing w:before="12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4. </w:t>
      </w:r>
      <w:r>
        <w:rPr>
          <w:rFonts w:hint="eastAsia"/>
          <w:b/>
          <w:color w:val="auto"/>
          <w:highlight w:val="none"/>
          <w:lang w:eastAsia="zh-CN"/>
        </w:rPr>
        <w:t xml:space="preserve">核心产品：</w:t>
      </w:r>
      <w:r>
        <w:rPr>
          <w:rFonts w:hint="eastAsia"/>
          <w:b/>
          <w:bCs/>
          <w:color w:val="auto"/>
          <w:highlight w:val="none"/>
          <w:lang w:eastAsia="zh-CN"/>
        </w:rPr>
        <w:t xml:space="preserve">五轴数控一体机</w:t>
      </w:r>
      <w:r>
        <w:rPr>
          <w:rFonts w:hint="eastAsia" w:ascii="宋体" w:hAnsi="宋体" w:cs="宋体"/>
          <w:b/>
          <w:bCs/>
          <w:color w:val="auto"/>
          <w:szCs w:val="24"/>
          <w:highlight w:val="none"/>
          <w:lang w:eastAsia="zh-CN"/>
        </w:rPr>
        <w:t xml:space="preserve">现场演示核验要求</w:t>
      </w:r>
      <w:r/>
    </w:p>
    <w:p>
      <w:pPr>
        <w:ind w:firstLine="420"/>
        <w:rPr>
          <w:color w:val="auto"/>
          <w:szCs w:val="24"/>
          <w:highlight w:val="none"/>
          <w:lang w:eastAsia="zh-CN"/>
        </w:rPr>
      </w:pPr>
      <w:r>
        <w:rPr>
          <w:rFonts w:hint="eastAsia"/>
          <w:color w:val="auto"/>
          <w:szCs w:val="24"/>
          <w:highlight w:val="none"/>
          <w:lang w:eastAsia="zh-CN"/>
        </w:rPr>
        <w:t xml:space="preserve">中标供应商在中标</w:t>
      </w:r>
      <w:r>
        <w:rPr>
          <w:rFonts w:hint="eastAsia"/>
          <w:color w:val="auto"/>
          <w:szCs w:val="24"/>
          <w:highlight w:val="none"/>
          <w:lang w:val="en-US" w:eastAsia="zh-CN"/>
        </w:rPr>
        <w:t xml:space="preserve">通知书</w:t>
      </w:r>
      <w:r>
        <w:rPr>
          <w:rFonts w:hint="eastAsia"/>
          <w:color w:val="auto"/>
          <w:szCs w:val="24"/>
          <w:highlight w:val="none"/>
          <w:lang w:eastAsia="zh-CN"/>
        </w:rPr>
        <w:t xml:space="preserve">发出三个工作日内，须配合采购人开展投标产品现场演示核验工作。投标产品须完全响应招标文件规定的全部技术参数要求。若经现场核验，存在任意一项技术指标不满足招标文件要求的，采购人有权不予签订采购合同，由此造成的全部经济损失及一切相关责任均由中标供应商承担。</w:t>
      </w:r>
      <w:r/>
    </w:p>
    <w:p>
      <w:pPr>
        <w:ind w:firstLine="0"/>
        <w:spacing w:before="120"/>
        <w:rPr>
          <w:rFonts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 xml:space="preserve">（</w:t>
      </w:r>
      <w:r>
        <w:rPr>
          <w:rFonts w:hint="eastAsia" w:ascii="宋体" w:hAnsi="宋体" w:cs="Times New Roman"/>
          <w:b/>
          <w:bCs/>
          <w:color w:val="auto"/>
          <w:szCs w:val="24"/>
          <w:highlight w:val="none"/>
          <w:lang w:eastAsia="zh-CN"/>
        </w:rPr>
        <w:t xml:space="preserve">三</w:t>
      </w:r>
      <w:r>
        <w:rPr>
          <w:rFonts w:hint="eastAsia" w:ascii="宋体" w:hAnsi="宋体" w:cs="Times New Roman"/>
          <w:b/>
          <w:bCs/>
          <w:color w:val="auto"/>
          <w:szCs w:val="24"/>
          <w:highlight w:val="none"/>
          <w:lang w:val="zh-CN" w:eastAsia="zh-CN"/>
        </w:rPr>
        <w:t xml:space="preserve">）售后服务要求</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1.</w:t>
      </w:r>
      <w:r>
        <w:rPr>
          <w:rFonts w:hint="eastAsia" w:ascii="宋体" w:hAnsi="宋体" w:cs="宋体"/>
          <w:color w:val="auto"/>
          <w:highlight w:val="none"/>
          <w:lang w:eastAsia="zh-CN"/>
        </w:rPr>
        <w:t xml:space="preserve">中</w:t>
      </w:r>
      <w:r>
        <w:rPr>
          <w:rFonts w:hint="eastAsia" w:ascii="宋体" w:hAnsi="宋体" w:cs="宋体"/>
          <w:color w:val="auto"/>
          <w:highlight w:val="none"/>
          <w:lang w:val="zh-CN" w:eastAsia="zh-CN"/>
        </w:rPr>
        <w:t xml:space="preserve">标供应商应对任何由于不当包装或防护措施不力而导致的商品损坏、损失、锈蚀、费用增长等后果负责。</w:t>
      </w:r>
      <w:r/>
    </w:p>
    <w:p>
      <w:pPr>
        <w:numPr>
          <w:ilvl w:val="255"/>
          <w:numId w:val="0"/>
        </w:numPr>
        <w:ind w:firstLine="480"/>
        <w:jc w:val="both"/>
        <w:widowControl w:val="off"/>
        <w:tabs>
          <w:tab w:val="left" w:pos="525" w:leader="none"/>
          <w:tab w:val="left" w:pos="630" w:leader="none"/>
          <w:tab w:val="left" w:pos="735" w:leader="none"/>
          <w:tab w:val="left" w:pos="945" w:leader="none"/>
        </w:tabs>
        <w:rPr>
          <w:rFonts w:ascii="宋体" w:hAnsi="Times New Roman" w:cs="Times New Roman"/>
          <w:bCs/>
          <w:color w:val="auto"/>
          <w:szCs w:val="24"/>
          <w:highlight w:val="none"/>
          <w:lang w:eastAsia="zh-CN"/>
        </w:rPr>
      </w:pPr>
      <w:r>
        <w:rPr>
          <w:rFonts w:hint="eastAsia" w:ascii="宋体" w:hAnsi="宋体" w:cs="宋体"/>
          <w:color w:val="auto"/>
          <w:highlight w:val="none"/>
          <w:lang w:val="zh-CN" w:eastAsia="zh-CN"/>
        </w:rPr>
        <w:t xml:space="preserve">2.</w:t>
      </w:r>
      <w:r>
        <w:rPr>
          <w:rFonts w:hint="eastAsia" w:ascii="宋体" w:hAnsi="Times New Roman" w:cs="Times New Roman"/>
          <w:bCs/>
          <w:color w:val="auto"/>
          <w:szCs w:val="24"/>
          <w:highlight w:val="none"/>
          <w:lang w:eastAsia="zh-CN"/>
        </w:rPr>
        <w:t xml:space="preserve">项目整体质保期：</w:t>
      </w:r>
      <w:r>
        <w:rPr>
          <w:rFonts w:hint="eastAsia" w:ascii="宋体"/>
          <w:bCs/>
          <w:color w:val="auto"/>
          <w:szCs w:val="24"/>
          <w:highlight w:val="none"/>
          <w:lang w:eastAsia="zh-CN"/>
        </w:rPr>
        <w:t xml:space="preserve">自最终验收合格之日起一年</w:t>
      </w:r>
      <w:r>
        <w:rPr>
          <w:rFonts w:hint="eastAsia" w:ascii="宋体" w:hAnsi="Times New Roman" w:cs="Times New Roman"/>
          <w:bCs/>
          <w:color w:val="auto"/>
          <w:szCs w:val="24"/>
          <w:highlight w:val="none"/>
          <w:lang w:eastAsia="zh-CN"/>
        </w:rPr>
        <w:t xml:space="preserve">。</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3.维修响应时间：</w:t>
      </w:r>
      <w:r>
        <w:rPr>
          <w:rFonts w:hint="eastAsia" w:ascii="宋体" w:hAnsi="宋体" w:cs="宋体"/>
          <w:color w:val="auto"/>
          <w:highlight w:val="none"/>
          <w:lang w:eastAsia="zh-CN"/>
        </w:rPr>
        <w:t xml:space="preserve">中标供应商</w:t>
      </w:r>
      <w:r>
        <w:rPr>
          <w:rFonts w:hint="eastAsia" w:ascii="宋体" w:hAnsi="宋体" w:cs="宋体"/>
          <w:color w:val="auto"/>
          <w:highlight w:val="none"/>
          <w:lang w:val="zh-CN" w:eastAsia="zh-CN"/>
        </w:rPr>
        <w:t xml:space="preserve">接到电话后立即响应，需现场维修的，接报后12小时内到达现场，并于24小时内维修完毕，如24小时内无法修复，采购</w:t>
      </w:r>
      <w:r>
        <w:rPr>
          <w:rFonts w:hint="eastAsia" w:ascii="宋体" w:hAnsi="宋体" w:cs="宋体"/>
          <w:color w:val="auto"/>
          <w:highlight w:val="none"/>
          <w:lang w:eastAsia="zh-CN"/>
        </w:rPr>
        <w:t xml:space="preserve">人</w:t>
      </w:r>
      <w:r>
        <w:rPr>
          <w:rFonts w:hint="eastAsia" w:ascii="宋体" w:hAnsi="宋体" w:cs="宋体"/>
          <w:color w:val="auto"/>
          <w:highlight w:val="none"/>
          <w:lang w:val="zh-CN" w:eastAsia="zh-CN"/>
        </w:rPr>
        <w:t xml:space="preserve">有权选择要求供应商继续维修，并在产品维修期间提供备用产品或另行委托第三方进行维修，由此产生的所有费用由供应商承担。未尽事宜按产品说明的保修承诺执行。</w:t>
      </w:r>
      <w:r/>
    </w:p>
    <w:p>
      <w:pPr>
        <w:numPr>
          <w:ilvl w:val="255"/>
          <w:numId w:val="0"/>
        </w:numPr>
        <w:ind w:firstLine="480"/>
        <w:rPr>
          <w:rFonts w:ascii="宋体" w:hAnsi="宋体" w:cs="宋体"/>
          <w:color w:val="auto"/>
          <w:highlight w:val="none"/>
          <w:lang w:eastAsia="zh-CN"/>
        </w:rPr>
      </w:pPr>
      <w:r>
        <w:rPr>
          <w:rFonts w:hint="eastAsia" w:ascii="宋体" w:hAnsi="宋体" w:cs="宋体"/>
          <w:color w:val="auto"/>
          <w:highlight w:val="none"/>
          <w:lang w:val="zh-CN" w:eastAsia="zh-CN"/>
        </w:rPr>
        <w:t xml:space="preserve">4</w:t>
      </w:r>
      <w:r>
        <w:rPr>
          <w:rFonts w:hint="eastAsia" w:ascii="宋体" w:hAnsi="宋体" w:cs="宋体"/>
          <w:color w:val="auto"/>
          <w:highlight w:val="none"/>
          <w:lang w:eastAsia="zh-CN"/>
        </w:rPr>
        <w:t xml:space="preserve">.免费保修期后，继续支持维修，并按成本价标准收取维修及零件费用。</w:t>
      </w:r>
      <w:r/>
    </w:p>
    <w:p>
      <w:pPr>
        <w:numPr>
          <w:ilvl w:val="255"/>
          <w:numId w:val="0"/>
        </w:numPr>
        <w:ind w:firstLine="482"/>
        <w:rPr>
          <w:color w:val="auto"/>
          <w:highlight w:val="none"/>
          <w:lang w:val="zh-CN" w:eastAsia="zh-CN"/>
        </w:rPr>
      </w:pPr>
      <w:r>
        <w:rPr>
          <w:rFonts w:hint="eastAsia" w:ascii="宋体" w:hAnsi="宋体" w:cs="宋体"/>
          <w:b/>
          <w:bCs/>
          <w:color w:val="auto"/>
          <w:highlight w:val="none"/>
          <w:lang w:val="zh-CN" w:eastAsia="zh-CN"/>
        </w:rPr>
        <w:t xml:space="preserve">5</w:t>
      </w:r>
      <w:r>
        <w:rPr>
          <w:rFonts w:hint="eastAsia" w:ascii="宋体" w:hAnsi="宋体" w:cs="宋体"/>
          <w:b/>
          <w:bCs/>
          <w:color w:val="auto"/>
          <w:highlight w:val="none"/>
          <w:lang w:eastAsia="zh-CN"/>
        </w:rPr>
        <w:t xml:space="preserve">.</w:t>
      </w:r>
      <w:r>
        <w:rPr>
          <w:rFonts w:hint="eastAsia" w:ascii="宋体" w:hAnsi="宋体" w:cs="宋体"/>
          <w:b/>
          <w:color w:val="auto"/>
          <w:szCs w:val="24"/>
          <w:highlight w:val="none"/>
          <w:lang w:eastAsia="zh-CN"/>
        </w:rPr>
        <w:t xml:space="preserve">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等内容，未提供视为符合性不通过</w:t>
      </w:r>
      <w:r>
        <w:rPr>
          <w:rFonts w:hint="eastAsia"/>
          <w:color w:val="auto"/>
          <w:highlight w:val="none"/>
          <w:lang w:val="zh-CN" w:eastAsia="zh-CN"/>
        </w:rPr>
        <w:t xml:space="preserve">。</w:t>
      </w:r>
      <w:r/>
    </w:p>
    <w:p>
      <w:pPr>
        <w:ind w:left="240" w:firstLine="0"/>
        <w:rPr>
          <w:rFonts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 xml:space="preserve">（</w:t>
      </w:r>
      <w:r>
        <w:rPr>
          <w:rFonts w:hint="eastAsia" w:ascii="宋体" w:hAnsi="宋体" w:cs="Times New Roman"/>
          <w:b/>
          <w:bCs/>
          <w:color w:val="auto"/>
          <w:szCs w:val="24"/>
          <w:highlight w:val="none"/>
          <w:lang w:eastAsia="zh-CN"/>
        </w:rPr>
        <w:t xml:space="preserve">四</w:t>
      </w:r>
      <w:r>
        <w:rPr>
          <w:rFonts w:hint="eastAsia" w:ascii="宋体" w:hAnsi="宋体" w:cs="Times New Roman"/>
          <w:b/>
          <w:bCs/>
          <w:color w:val="auto"/>
          <w:szCs w:val="24"/>
          <w:highlight w:val="none"/>
          <w:lang w:val="zh-CN" w:eastAsia="zh-CN"/>
        </w:rPr>
        <w:t xml:space="preserve">）安装调试及验收</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1.投标供应商应在设备到货前1天安排人员到现场进行安装卸货前协调工作，安装完成后对水、电、排风等进行调试，直到设备正常使用。</w:t>
      </w:r>
      <w:r/>
    </w:p>
    <w:p>
      <w:pPr>
        <w:numPr>
          <w:ilvl w:val="255"/>
          <w:numId w:val="0"/>
        </w:numPr>
        <w:ind w:firstLine="480"/>
        <w:rPr>
          <w:rFonts w:ascii="宋体" w:hAnsi="宋体" w:cs="宋体"/>
          <w:color w:val="auto"/>
          <w:highlight w:val="none"/>
          <w:lang w:eastAsia="zh-CN"/>
        </w:rPr>
      </w:pPr>
      <w:r>
        <w:rPr>
          <w:rFonts w:ascii="宋体" w:hAnsi="宋体" w:cs="宋体"/>
          <w:color w:val="auto"/>
          <w:highlight w:val="none"/>
          <w:lang w:val="zh-CN" w:eastAsia="zh-CN"/>
        </w:rPr>
        <w:t xml:space="preserve">2.根据项目实际使用需要，为确保设备正常运行</w:t>
      </w:r>
      <w:r>
        <w:rPr>
          <w:rFonts w:hint="eastAsia" w:ascii="宋体" w:hAnsi="宋体" w:cs="宋体"/>
          <w:color w:val="auto"/>
          <w:highlight w:val="none"/>
          <w:lang w:val="zh-CN" w:eastAsia="zh-CN"/>
        </w:rPr>
        <w:t xml:space="preserve">的配套用电，供应商须负责完成所有必要的配套电气线路布设、管线敷设、插座安装等相关工作内容。上述工作内容均应包含在本次采购范围内，相关费用由供应商一并计入投标总报价，不得以任何理由提出额外费用或拒绝实施。</w:t>
      </w:r>
      <w:r>
        <w:rPr>
          <w:rFonts w:ascii="宋体" w:hAnsi="宋体" w:cs="宋体"/>
          <w:color w:val="auto"/>
          <w:highlight w:val="none"/>
          <w:lang w:eastAsia="zh-CN"/>
        </w:rPr>
        <w:t xml:space="preserve"> </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eastAsia="zh-CN"/>
        </w:rPr>
        <w:t xml:space="preserve">3.</w:t>
      </w:r>
      <w:r>
        <w:rPr>
          <w:rFonts w:hint="eastAsia" w:ascii="宋体" w:hAnsi="宋体" w:cs="宋体"/>
          <w:color w:val="auto"/>
          <w:highlight w:val="none"/>
          <w:lang w:val="zh-CN" w:eastAsia="zh-CN"/>
        </w:rPr>
        <w:t xml:space="preserve">由采购人按合同和招标、投标文件约定的要求和标准及中华人民共和国现行的验收规范和评定标准进行交货验收。</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eastAsia="zh-CN"/>
        </w:rPr>
        <w:t xml:space="preserve">4</w:t>
      </w:r>
      <w:r>
        <w:rPr>
          <w:rFonts w:hint="eastAsia" w:ascii="宋体" w:hAnsi="宋体" w:cs="宋体"/>
          <w:color w:val="auto"/>
          <w:highlight w:val="none"/>
          <w:lang w:val="zh-CN" w:eastAsia="zh-CN"/>
        </w:rPr>
        <w:t xml:space="preserve">.投标供应商货物经过双方检验认可后，签署验收报告，产品保修期自验收合格之日起算，由投标供应商提供产品保修文件。</w:t>
      </w:r>
      <w:r/>
    </w:p>
    <w:p>
      <w:pPr>
        <w:numPr>
          <w:ilvl w:val="255"/>
          <w:numId w:val="0"/>
        </w:numPr>
        <w:ind w:firstLine="480"/>
        <w:rPr>
          <w:rFonts w:ascii="宋体" w:hAnsi="宋体" w:cs="宋体"/>
          <w:color w:val="auto"/>
          <w:highlight w:val="none"/>
          <w:lang w:val="zh-CN" w:eastAsia="zh-CN"/>
        </w:rPr>
      </w:pPr>
      <w:r>
        <w:rPr>
          <w:rFonts w:ascii="宋体" w:hAnsi="宋体" w:cs="宋体"/>
          <w:color w:val="auto"/>
          <w:highlight w:val="none"/>
          <w:lang w:val="zh-CN" w:eastAsia="zh-CN"/>
        </w:rPr>
        <w:t xml:space="preserve">5.</w:t>
      </w:r>
      <w:r>
        <w:rPr>
          <w:rFonts w:hint="eastAsia" w:ascii="宋体" w:hAnsi="宋体" w:cs="宋体"/>
          <w:color w:val="auto"/>
          <w:highlight w:val="none"/>
          <w:lang w:val="zh-CN" w:eastAsia="zh-CN"/>
        </w:rPr>
        <w:t xml:space="preserve">采购人根据国家有关规定、招标文件、中标方的投标文件以及合同约定的内容和验收标准进</w:t>
      </w:r>
      <w:r>
        <w:rPr>
          <w:rFonts w:hint="eastAsia" w:ascii="宋体" w:hAnsi="宋体" w:cs="宋体"/>
          <w:color w:val="auto"/>
          <w:highlight w:val="none"/>
          <w:lang w:val="zh-CN" w:eastAsia="zh-CN"/>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55"/>
          <w:numId w:val="0"/>
        </w:numPr>
        <w:ind w:firstLine="480"/>
        <w:widowControl w:val="off"/>
        <w:rPr>
          <w:rFonts w:ascii="宋体" w:hAnsi="宋体" w:cs="宋体"/>
          <w:color w:val="auto"/>
          <w:highlight w:val="none"/>
          <w:lang w:val="zh-CN" w:eastAsia="zh-CN"/>
        </w:rPr>
      </w:pPr>
      <w:r>
        <w:rPr>
          <w:rFonts w:hint="eastAsia" w:ascii="宋体" w:hAnsi="宋体" w:cs="宋体"/>
          <w:color w:val="auto"/>
          <w:highlight w:val="none"/>
          <w:lang w:eastAsia="zh-CN"/>
        </w:rPr>
        <w:t xml:space="preserve">6</w:t>
      </w:r>
      <w:r>
        <w:rPr>
          <w:rFonts w:hint="eastAsia" w:ascii="宋体" w:hAnsi="宋体" w:cs="宋体"/>
          <w:color w:val="auto"/>
          <w:highlight w:val="none"/>
          <w:lang w:val="zh-CN" w:eastAsia="zh-CN"/>
        </w:rPr>
        <w:t xml:space="preserve">.验收标准：</w:t>
      </w:r>
      <w:r/>
    </w:p>
    <w:p>
      <w:pPr>
        <w:numPr>
          <w:ilvl w:val="255"/>
          <w:numId w:val="0"/>
        </w:numPr>
        <w:ind w:firstLine="480"/>
        <w:widowControl w:val="off"/>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（1）设备全新，外观无伤痕变形或明显修饰痕迹。</w:t>
      </w:r>
      <w:r/>
    </w:p>
    <w:p>
      <w:pPr>
        <w:numPr>
          <w:ilvl w:val="255"/>
          <w:numId w:val="0"/>
        </w:numPr>
        <w:ind w:firstLine="480"/>
        <w:widowControl w:val="off"/>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2）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p>
    <w:p>
      <w:pPr>
        <w:numPr>
          <w:ilvl w:val="255"/>
          <w:numId w:val="0"/>
        </w:numPr>
        <w:ind w:firstLine="480"/>
        <w:widowControl w:val="off"/>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（3）技术文件资料、备件等已按规定数量移交完毕。</w:t>
      </w:r>
      <w:r/>
    </w:p>
    <w:p>
      <w:pPr>
        <w:numPr>
          <w:ilvl w:val="255"/>
          <w:numId w:val="0"/>
        </w:numPr>
        <w:ind w:firstLine="480"/>
        <w:widowControl w:val="off"/>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（4）按照招标文件要求及投标文件提供的技术要求验收必须合格。</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5）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（6）货物具备产品合格证。</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（7）在货物安装调试合格后，所有技术指标达到技术规范要求，经验收合格后，双方共同签署验收报告。</w:t>
      </w:r>
      <w:r/>
    </w:p>
    <w:p>
      <w:pPr>
        <w:numPr>
          <w:ilvl w:val="255"/>
          <w:numId w:val="0"/>
        </w:numPr>
        <w:ind w:firstLine="480"/>
        <w:widowControl w:val="off"/>
        <w:rPr>
          <w:rFonts w:ascii="宋体" w:hAnsi="宋体" w:cs="宋体"/>
          <w:color w:val="auto"/>
          <w:highlight w:val="none"/>
          <w:lang w:val="zh-CN" w:eastAsia="zh-CN"/>
        </w:rPr>
      </w:pPr>
      <w:r>
        <w:rPr>
          <w:rFonts w:hint="eastAsia" w:ascii="宋体" w:hAnsi="宋体" w:cs="宋体"/>
          <w:color w:val="auto"/>
          <w:highlight w:val="none"/>
          <w:lang w:eastAsia="zh-CN"/>
        </w:rPr>
        <w:t xml:space="preserve">7</w:t>
      </w:r>
      <w:r>
        <w:rPr>
          <w:rFonts w:hint="eastAsia" w:ascii="宋体" w:hAnsi="宋体" w:cs="宋体"/>
          <w:color w:val="auto"/>
          <w:highlight w:val="none"/>
          <w:lang w:val="zh-CN" w:eastAsia="zh-CN"/>
        </w:rPr>
        <w:t xml:space="preserve">.</w:t>
      </w:r>
      <w:r>
        <w:rPr>
          <w:rFonts w:ascii="宋体" w:hAnsi="宋体" w:cs="宋体"/>
          <w:color w:val="auto"/>
          <w:szCs w:val="24"/>
          <w:highlight w:val="none"/>
          <w:lang w:eastAsia="zh-CN"/>
        </w:rPr>
        <w:t xml:space="preserve">关键零部件核验</w:t>
      </w:r>
      <w:r>
        <w:rPr>
          <w:rFonts w:hint="eastAsia" w:ascii="宋体" w:hAnsi="宋体" w:cs="宋体"/>
          <w:color w:val="auto"/>
          <w:highlight w:val="none"/>
          <w:lang w:val="zh-CN" w:eastAsia="zh-CN"/>
        </w:rPr>
        <w:t xml:space="preserve">：</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7.1 设备到货开箱验收阶段，采购人有权对照</w:t>
      </w:r>
      <w:r>
        <w:rPr>
          <w:rFonts w:hint="eastAsia" w:ascii="宋体" w:hAnsi="宋体" w:cs="宋体"/>
          <w:color w:val="auto"/>
          <w:highlight w:val="none"/>
          <w:lang w:eastAsia="zh-CN"/>
        </w:rPr>
        <w:t xml:space="preserve">中标供应商</w:t>
      </w:r>
      <w:r>
        <w:rPr>
          <w:rFonts w:hint="eastAsia" w:ascii="宋体" w:hAnsi="宋体" w:cs="宋体"/>
          <w:color w:val="auto"/>
          <w:highlight w:val="none"/>
          <w:lang w:val="zh-CN" w:eastAsia="zh-CN"/>
        </w:rPr>
        <w:t xml:space="preserve">投标文件</w:t>
      </w:r>
      <w:r>
        <w:rPr>
          <w:rFonts w:hint="eastAsia" w:ascii="宋体" w:hAnsi="宋体" w:cs="宋体"/>
          <w:color w:val="auto"/>
          <w:highlight w:val="none"/>
          <w:lang w:eastAsia="zh-CN"/>
        </w:rPr>
        <w:t xml:space="preserve">的明细报价表、偏离表、技术方案等材料</w:t>
      </w:r>
      <w:r>
        <w:rPr>
          <w:rFonts w:hint="eastAsia" w:ascii="宋体" w:hAnsi="宋体" w:cs="宋体"/>
          <w:color w:val="auto"/>
          <w:highlight w:val="none"/>
          <w:lang w:val="zh-CN" w:eastAsia="zh-CN"/>
        </w:rPr>
        <w:t xml:space="preserve">，对机床全部关键零部件实物铭牌、型号、序列号进行逐项核对。采购人同时保留赴生产工厂开展出厂预验收，开展零部件实物核验的权利。</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7.2 出现以下任一情形，直接判定本批次设备验收不合格：</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（1）实际装机零部件品牌、型号、精度等级低于投标文件承诺配置；</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（2）核查发现翻新件、拆机件、二手改装件、贴牌件；</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（3）无法提供关键零部件原厂合格证、序列号溯源清单；</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7.3 验收不合格，采购人有权选择执行以下任一处置方案，全部产生的费用、工期延误损失均由中标供应商承担： </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①全部不合格设备退货处理，解除对应合同内容，并追究中标供应商相应违约责任； </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②要求中标供应商在采购人指定期限内完成全部不合格零部件的更换、整改。</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7.4 零部件核验不合格产生的运输、吊装、拆装、辅材、人工等全部费用均由中标供应商承担。</w:t>
      </w:r>
      <w:r/>
    </w:p>
    <w:p>
      <w:pPr>
        <w:ind w:right="-143" w:firstLine="0"/>
        <w:rPr>
          <w:color w:val="auto"/>
          <w:highlight w:val="none"/>
          <w:lang w:eastAsia="zh-CN"/>
        </w:rPr>
      </w:pPr>
      <w:r>
        <w:rPr>
          <w:rFonts w:hint="eastAsia"/>
          <w:b/>
          <w:color w:val="auto"/>
          <w:highlight w:val="none"/>
          <w:lang w:eastAsia="zh-CN"/>
        </w:rPr>
        <w:t xml:space="preserve">（五）其他有关说明</w:t>
      </w:r>
      <w:r/>
    </w:p>
    <w:p>
      <w:pPr>
        <w:numPr>
          <w:ilvl w:val="1"/>
          <w:numId w:val="0"/>
        </w:numPr>
        <w:ind w:firstLine="480"/>
        <w:tabs>
          <w:tab w:val="left" w:pos="525" w:leader="none"/>
          <w:tab w:val="left" w:pos="945" w:leader="none"/>
        </w:tabs>
        <w:rPr>
          <w:rFonts w:ascii="宋体"/>
          <w:bCs/>
          <w:color w:val="auto"/>
          <w:szCs w:val="24"/>
          <w:highlight w:val="none"/>
          <w:lang w:eastAsia="zh-CN"/>
        </w:rPr>
      </w:pPr>
      <w:r>
        <w:rPr>
          <w:rFonts w:hint="eastAsia" w:ascii="宋体"/>
          <w:bCs/>
          <w:color w:val="auto"/>
          <w:szCs w:val="24"/>
          <w:highlight w:val="none"/>
          <w:lang w:eastAsia="zh-CN"/>
        </w:rPr>
        <w:t xml:space="preserve">1.</w:t>
      </w:r>
      <w:r>
        <w:rPr>
          <w:rFonts w:hint="eastAsia" w:ascii="宋体" w:hAnsi="宋体"/>
          <w:bCs/>
          <w:color w:val="auto"/>
          <w:szCs w:val="24"/>
          <w:highlight w:val="none"/>
          <w:lang w:eastAsia="zh-CN"/>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tabs>
          <w:tab w:val="left" w:pos="525" w:leader="none"/>
          <w:tab w:val="left" w:pos="945" w:leader="none"/>
        </w:tabs>
        <w:rPr>
          <w:rFonts w:ascii="宋体"/>
          <w:bCs/>
          <w:color w:val="auto"/>
          <w:szCs w:val="24"/>
          <w:highlight w:val="none"/>
          <w:lang w:eastAsia="zh-CN"/>
        </w:rPr>
      </w:pPr>
      <w:r>
        <w:rPr>
          <w:rFonts w:hint="eastAsia" w:ascii="宋体"/>
          <w:bCs/>
          <w:color w:val="auto"/>
          <w:szCs w:val="24"/>
          <w:highlight w:val="none"/>
          <w:lang w:eastAsia="zh-CN"/>
        </w:rPr>
        <w:t xml:space="preserve">2.</w:t>
      </w:r>
      <w:r>
        <w:rPr>
          <w:rFonts w:hint="eastAsia" w:ascii="宋体" w:hAnsi="宋体"/>
          <w:bCs/>
          <w:color w:val="auto"/>
          <w:szCs w:val="24"/>
          <w:highlight w:val="none"/>
          <w:lang w:eastAsia="zh-CN"/>
        </w:rPr>
        <w:t xml:space="preserve">通过中国海关报关验放进入中国境内且产自境外的产品不在本项目的报价范围。</w:t>
      </w:r>
      <w:r/>
    </w:p>
    <w:p>
      <w:pPr>
        <w:numPr>
          <w:ilvl w:val="1"/>
          <w:numId w:val="0"/>
        </w:numPr>
        <w:ind w:firstLine="480"/>
        <w:tabs>
          <w:tab w:val="left" w:pos="525" w:leader="none"/>
          <w:tab w:val="left" w:pos="945" w:leader="none"/>
        </w:tabs>
        <w:rPr>
          <w:rFonts w:ascii="宋体"/>
          <w:bCs/>
          <w:color w:val="auto"/>
          <w:szCs w:val="24"/>
          <w:highlight w:val="none"/>
          <w:lang w:eastAsia="zh-CN"/>
        </w:rPr>
      </w:pPr>
      <w:r>
        <w:rPr>
          <w:rFonts w:hint="eastAsia" w:ascii="宋体"/>
          <w:bCs/>
          <w:color w:val="auto"/>
          <w:szCs w:val="24"/>
          <w:highlight w:val="none"/>
          <w:lang w:eastAsia="zh-CN"/>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tabs>
          <w:tab w:val="left" w:pos="525" w:leader="none"/>
          <w:tab w:val="left" w:pos="945" w:leader="none"/>
        </w:tabs>
        <w:rPr>
          <w:rFonts w:ascii="宋体"/>
          <w:bCs/>
          <w:color w:val="auto"/>
          <w:szCs w:val="24"/>
          <w:highlight w:val="none"/>
          <w:lang w:eastAsia="zh-CN"/>
        </w:rPr>
      </w:pPr>
      <w:r>
        <w:rPr>
          <w:rFonts w:hint="eastAsia" w:ascii="宋体"/>
          <w:bCs/>
          <w:color w:val="auto"/>
          <w:szCs w:val="24"/>
          <w:highlight w:val="none"/>
          <w:lang w:eastAsia="zh-CN"/>
        </w:rPr>
        <w:t xml:space="preserve">4.</w:t>
      </w:r>
      <w:r>
        <w:rPr>
          <w:rFonts w:hint="eastAsia" w:ascii="宋体" w:hAnsi="宋体" w:cs="宋体"/>
          <w:color w:val="auto"/>
          <w:szCs w:val="24"/>
          <w:highlight w:val="none"/>
          <w:lang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0"/>
        </w:numPr>
        <w:ind w:firstLine="480"/>
        <w:tabs>
          <w:tab w:val="left" w:pos="525" w:leader="none"/>
          <w:tab w:val="left" w:pos="945" w:leader="none"/>
        </w:tabs>
        <w:rPr>
          <w:rFonts w:ascii="宋体"/>
          <w:bCs/>
          <w:color w:val="auto"/>
          <w:szCs w:val="24"/>
          <w:highlight w:val="none"/>
          <w:lang w:eastAsia="zh-CN"/>
        </w:rPr>
      </w:pPr>
      <w:r>
        <w:rPr>
          <w:rFonts w:hint="eastAsia" w:ascii="宋体"/>
          <w:bCs/>
          <w:color w:val="auto"/>
          <w:szCs w:val="24"/>
          <w:highlight w:val="none"/>
          <w:lang w:eastAsia="zh-CN"/>
        </w:rPr>
        <w:t xml:space="preserve">5.投标供应商必须在满足招标文件要求的基础上进行报价，如有技术偏离请于投标偏离表中说明。</w:t>
      </w:r>
      <w:r/>
    </w:p>
    <w:p>
      <w:pPr>
        <w:numPr>
          <w:ilvl w:val="1"/>
          <w:numId w:val="0"/>
        </w:numPr>
        <w:ind w:firstLine="480"/>
        <w:tabs>
          <w:tab w:val="left" w:pos="525" w:leader="none"/>
          <w:tab w:val="left" w:pos="945" w:leader="none"/>
        </w:tabs>
        <w:rPr>
          <w:rFonts w:ascii="宋体" w:hAnsi="宋体"/>
          <w:bCs/>
          <w:color w:val="auto"/>
          <w:szCs w:val="24"/>
          <w:highlight w:val="none"/>
          <w:lang w:eastAsia="zh-CN"/>
        </w:rPr>
      </w:pPr>
      <w:r>
        <w:rPr>
          <w:rFonts w:hint="eastAsia" w:ascii="宋体" w:hAnsi="宋体"/>
          <w:bCs/>
          <w:color w:val="auto"/>
          <w:szCs w:val="24"/>
          <w:highlight w:val="none"/>
          <w:lang w:eastAsia="zh-CN"/>
        </w:rPr>
        <w:t xml:space="preserve">6.本项目合同履行地点：无锡，具体地点以合同书约定为准。中标方必须按采购人要求将本项目中货物送到指定地点（包括可能的分布范围），并分地实施安装调试。</w:t>
      </w:r>
      <w:r/>
    </w:p>
    <w:p>
      <w:pPr>
        <w:ind w:firstLine="480"/>
        <w:tabs>
          <w:tab w:val="left" w:pos="525" w:leader="none"/>
          <w:tab w:val="left" w:pos="630" w:leader="none"/>
          <w:tab w:val="left" w:pos="735" w:leader="none"/>
          <w:tab w:val="left" w:pos="945" w:leader="none"/>
        </w:tabs>
        <w:rPr>
          <w:rFonts w:ascii="宋体" w:hAnsi="宋体"/>
          <w:bCs/>
          <w:color w:val="auto"/>
          <w:highlight w:val="none"/>
          <w:lang w:eastAsia="zh-CN"/>
        </w:rPr>
      </w:pPr>
      <w:r>
        <w:rPr>
          <w:rFonts w:hint="eastAsia" w:ascii="宋体" w:hAnsi="宋体"/>
          <w:bCs/>
          <w:color w:val="auto"/>
          <w:highlight w:val="none"/>
          <w:lang w:eastAsia="zh-CN"/>
        </w:rPr>
        <w:t xml:space="preserve">7.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tabs>
          <w:tab w:val="left" w:pos="525" w:leader="none"/>
          <w:tab w:val="left" w:pos="630" w:leader="none"/>
          <w:tab w:val="left" w:pos="735" w:leader="none"/>
          <w:tab w:val="left" w:pos="945" w:leader="none"/>
        </w:tabs>
        <w:rPr>
          <w:rFonts w:ascii="宋体"/>
          <w:bCs/>
          <w:color w:val="auto"/>
          <w:szCs w:val="24"/>
          <w:highlight w:val="none"/>
          <w:lang w:eastAsia="zh-CN"/>
        </w:rPr>
      </w:pPr>
      <w:r>
        <w:rPr>
          <w:rFonts w:hint="eastAsia" w:ascii="宋体"/>
          <w:bCs/>
          <w:color w:val="auto"/>
          <w:szCs w:val="24"/>
          <w:highlight w:val="none"/>
          <w:lang w:eastAsia="zh-CN"/>
        </w:rPr>
        <w:t xml:space="preserve">8.依据《政府采购促进中小企业发展管理办法》规定享受扶持政策获得政府采购合同的，小微企业不得将合同分包给大中型企业，中型企业不得将合同分包给大型企业。</w:t>
      </w:r>
      <w:r/>
    </w:p>
    <w:p>
      <w:pPr>
        <w:ind w:firstLine="480"/>
        <w:tabs>
          <w:tab w:val="left" w:pos="525" w:leader="none"/>
          <w:tab w:val="left" w:pos="630" w:leader="none"/>
          <w:tab w:val="left" w:pos="735" w:leader="none"/>
          <w:tab w:val="left" w:pos="945" w:leader="none"/>
        </w:tabs>
        <w:rPr>
          <w:color w:val="auto"/>
          <w:highlight w:val="none"/>
          <w:lang w:eastAsia="zh-CN"/>
        </w:rPr>
      </w:pPr>
      <w:r>
        <w:rPr>
          <w:rFonts w:hint="eastAsia" w:ascii="宋体"/>
          <w:bCs/>
          <w:color w:val="auto"/>
          <w:szCs w:val="24"/>
          <w:highlight w:val="none"/>
          <w:lang w:eastAsia="zh-CN"/>
        </w:rPr>
        <w:t xml:space="preserve">9.</w:t>
      </w:r>
      <w:r>
        <w:rPr>
          <w:rFonts w:hint="eastAsia" w:ascii="宋体" w:hAnsi="宋体"/>
          <w:bCs/>
          <w:color w:val="auto"/>
          <w:highlight w:val="none"/>
          <w:lang w:eastAsia="zh-CN"/>
        </w:rPr>
        <w:t xml:space="preserve">开标后，投标供应商须自行准备设备（包括但不限于笔记本电脑、无线网络）登录</w:t>
      </w:r>
      <w:r>
        <w:rPr>
          <w:rFonts w:hint="eastAsia" w:ascii="宋体" w:hAnsi="宋体"/>
          <w:bCs/>
          <w:color w:val="auto"/>
          <w:szCs w:val="24"/>
          <w:highlight w:val="none"/>
          <w:lang w:eastAsia="zh-CN"/>
        </w:rPr>
        <w:t xml:space="preserve">“苏采云”系统</w:t>
      </w:r>
      <w:r>
        <w:rPr>
          <w:rFonts w:hint="eastAsia" w:ascii="宋体" w:hAnsi="宋体"/>
          <w:bCs/>
          <w:color w:val="auto"/>
          <w:highlight w:val="none"/>
          <w:lang w:eastAsia="zh-CN"/>
        </w:rPr>
        <w:t xml:space="preserve">，按招标文件规定时间解密后，在评标过程中保持在线，等待评标委员会的询标和评标结果，中途不得离开。如未按要求应答，由此所产生的损失及风险由投标供应商自行承担。</w:t>
      </w:r>
      <w:r>
        <w:rPr>
          <w:color w:val="auto"/>
          <w:highlight w:val="none"/>
          <w:lang w:eastAsia="zh-CN"/>
        </w:rPr>
        <w:br w:type="page" w:clear="all"/>
      </w:r>
      <w:r/>
    </w:p>
    <w:p>
      <w:pPr>
        <w:ind w:firstLine="482"/>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附件1：</w:t>
      </w:r>
      <w:r/>
    </w:p>
    <w:p>
      <w:pPr>
        <w:ind w:firstLine="482"/>
        <w:jc w:val="center"/>
        <w:rPr>
          <w:rFonts w:ascii="宋体" w:hAnsi="宋体" w:cs="宋体"/>
          <w:b/>
          <w:color w:val="auto"/>
          <w:szCs w:val="24"/>
          <w:highlight w:val="none"/>
          <w:lang w:val="zh-CN" w:eastAsia="zh-CN"/>
        </w:rPr>
      </w:pPr>
      <w:r>
        <w:rPr>
          <w:rFonts w:hint="eastAsia" w:ascii="宋体" w:hAnsi="宋体" w:cs="宋体"/>
          <w:b/>
          <w:bCs/>
          <w:color w:val="auto"/>
          <w:szCs w:val="24"/>
          <w:highlight w:val="none"/>
          <w:lang w:val="zh-CN" w:eastAsia="zh-CN"/>
        </w:rPr>
        <w:t xml:space="preserve">商品包装政府采购需求标准（ 试行）</w:t>
      </w:r>
      <w:r/>
    </w:p>
    <w:p>
      <w:pPr>
        <w:ind w:firstLine="482"/>
        <w:rPr>
          <w:rFonts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 xml:space="preserve">一、适用范围</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本标准规定了商品使用的塑料、纸质、木质等包装材料的环保要求。</w:t>
      </w:r>
      <w:r/>
    </w:p>
    <w:p>
      <w:pPr>
        <w:ind w:firstLine="482"/>
        <w:rPr>
          <w:rFonts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 xml:space="preserve">二、商品包装环保要求</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1.商品包装层数不得超过3层，空隙率不大于40%；</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2.商品包装尽可能使用单一材质的包装材料，如因功能需求必须使用不同材质，不同材质间应便于分离；</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3.商品包装中铅、汞、镉、六价铬的总含量应不大于100mg/kg；</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4.商品包装印刷使用的油墨中挥发性有机化合物（VOCs）含量应不大于5g（以重量计）；</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5.塑料材质商品包装上呈现的印刷颜色不得超过 6色；</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6.纸质商品包装应使用75%以上的可再生纤维原料生产；</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7.木质商品包装的原料应来源于可持续性森林。</w:t>
      </w:r>
      <w:r/>
    </w:p>
    <w:p>
      <w:pPr>
        <w:ind w:firstLine="482"/>
        <w:rPr>
          <w:rFonts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 xml:space="preserve">三、检测方法</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1.商品包装中重金属（铅、汞、铜、六价铬）总量的检测按照 GB/T 10004-2008《包装用塑料复合膜、袋干法复合、挤出复合》规定的方法进行。</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2.商品包装印刷使用的油墨中挥发性有机化合物（VOCs）的检测按照GB/T 23986-2009《色漆和清漆挥发性有机化合物（VOC）含量的测定 气相色谱法》规定的方法进行。</w:t>
      </w:r>
      <w:r/>
    </w:p>
    <w:p>
      <w:pPr>
        <w:ind w:firstLine="640"/>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firstLine="640"/>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firstLine="640"/>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firstLine="640"/>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firstLine="640"/>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firstLine="640"/>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firstLine="640"/>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firstLine="482"/>
        <w:rPr>
          <w:rFonts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br w:type="page" w:clear="all"/>
      </w:r>
      <w:r/>
    </w:p>
    <w:p>
      <w:pPr>
        <w:ind w:firstLine="482"/>
        <w:rPr>
          <w:rFonts w:ascii="宋体" w:hAnsi="宋体" w:cs="宋体"/>
          <w:color w:val="auto"/>
          <w:szCs w:val="24"/>
          <w:highlight w:val="none"/>
          <w:lang w:val="zh-CN" w:eastAsia="zh-CN"/>
        </w:rPr>
      </w:pPr>
      <w:r>
        <w:rPr>
          <w:rFonts w:hint="eastAsia" w:ascii="宋体" w:hAnsi="宋体" w:cs="宋体"/>
          <w:b/>
          <w:bCs/>
          <w:color w:val="auto"/>
          <w:szCs w:val="24"/>
          <w:highlight w:val="none"/>
          <w:lang w:val="zh-CN" w:eastAsia="zh-CN"/>
        </w:rPr>
        <w:t xml:space="preserve">附件2：</w:t>
      </w:r>
      <w:r/>
    </w:p>
    <w:p>
      <w:pPr>
        <w:ind w:firstLine="482"/>
        <w:jc w:val="center"/>
        <w:rPr>
          <w:rFonts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 xml:space="preserve">快递包装政府采购需求标准（试行）</w:t>
      </w:r>
      <w:r/>
    </w:p>
    <w:p>
      <w:pPr>
        <w:ind w:firstLine="482"/>
        <w:rPr>
          <w:rFonts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 xml:space="preserve">一、适用范围</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本标准中的快递包装主要指快递封装材料，包括封套、胶带、面单、包装袋/箱、填充物、集装袋、周转箱等。</w:t>
      </w:r>
      <w:r/>
    </w:p>
    <w:p>
      <w:pPr>
        <w:ind w:firstLine="482"/>
        <w:rPr>
          <w:rFonts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 xml:space="preserve">二、快递包装环保要求</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1.快递包装中重金属 （铅、汞、锡、六价铬） 总量应不大于100mg/kg；</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2.快递包装印刷使用的油墨中不应添加邻苯二甲酸酐，其挥发性有机化合物（VOCs）含量应不大于5g（以重量计）；</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3.快递包装中使用纸基材的包装材料，纸基材中的有机氯的含量应不大于 150 mg/kg；</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5.快递中使用的塑料包装袋不得使用聚氯乙烯作为原料，且原料应为单一材质制成，生物分解率大于60%；</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6.快递中使用的充气类填充物不得使用聚氯乙烯作为原料，且原料为单一材质制成，生物分解率大于 60%；</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7.快递中使用的集装袋应为单一材质制成，其重复使用次数应不小于80 次；</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8.快递中应使用幅宽不大于45mm 的生物降解胶带；</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9.快递包装中不得使用溶剂型胶黏剂；</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10.快递应使用电子面单；</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11.直接使用商品包装作为快递包装的商品，其商品包装满足《商品包装政府采购需求标准（试行）》即可；</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12.快递包装产品质量和封装方式应符合相关国家或行业标准技术指标要求。</w:t>
      </w:r>
      <w:r/>
    </w:p>
    <w:p>
      <w:pPr>
        <w:ind w:firstLine="482"/>
        <w:rPr>
          <w:rFonts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 xml:space="preserve">三、检测方法</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1.快递包装中重金属（铅、汞、镉、六价铬）总量的检测按照 GB/T 10004-2008《包装用塑料复合膜、袋干法复合、挤出复合》规定的方法进行。</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2.快递包装印刷使用的油墨中挥发性有机化合物（VOCs）的检测按照 GB/T 23986-2009《色漆和清漆 挥发性有机化合物（VOC）含量的测定 气相色谱法》规定的方法进行。</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3.快递包装所使用的塑料包装的生物降解率的检测按照 GB/T 20197-2006《降解塑料的定义、分类、标识和降解性能要求》规定的方法进行。</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4.快递包装使用纸基材的包装材料中有机氯的检测按照 GB/T 22904-2008《纸浆、纸和纸板总氯和有机氯的检定》规定的方法进行。</w:t>
      </w:r>
      <w:r/>
    </w:p>
    <w:p>
      <w:pPr>
        <w:ind w:firstLine="480"/>
        <w:rPr>
          <w:rFonts w:ascii="宋体" w:hAnsi="宋体" w:cs="宋体"/>
          <w:color w:val="auto"/>
          <w:sz w:val="32"/>
          <w:szCs w:val="32"/>
          <w:highlight w:val="none"/>
          <w:lang w:eastAsia="zh-CN"/>
        </w:rPr>
      </w:pPr>
      <w:r>
        <w:rPr>
          <w:rFonts w:hint="eastAsia" w:ascii="宋体" w:hAnsi="宋体" w:cs="宋体"/>
          <w:color w:val="auto"/>
          <w:szCs w:val="24"/>
          <w:highlight w:val="none"/>
          <w:lang w:val="zh-CN" w:eastAsia="zh-CN"/>
        </w:rPr>
        <w:t xml:space="preserve">5.快递包装中使用的生物降解胶带的生物降解率的检测按照 GB/T19277.1《受控堆肥条件下材料最终需氧生物分解能力的测定采用测定释放的二氧化碳的方法 第1部分：通用方法》规定的方法进行。</w:t>
      </w:r>
      <w:r/>
    </w:p>
    <w:p>
      <w:pPr>
        <w:ind w:firstLine="640"/>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firstLine="0"/>
        <w:rPr>
          <w:rFonts w:ascii="宋体" w:hAnsi="宋体" w:eastAsia="等线" w:cs="Times New Roman"/>
          <w:b/>
          <w:color w:val="auto"/>
          <w:sz w:val="30"/>
          <w:szCs w:val="30"/>
          <w:highlight w:val="none"/>
          <w:lang w:eastAsia="zh-CN"/>
        </w:rPr>
      </w:pPr>
      <w:r>
        <w:rPr>
          <w:rFonts w:hint="eastAsia" w:ascii="宋体" w:hAnsi="宋体" w:eastAsia="等线" w:cs="Times New Roman"/>
          <w:b/>
          <w:color w:val="auto"/>
          <w:sz w:val="30"/>
          <w:szCs w:val="30"/>
          <w:highlight w:val="none"/>
          <w:lang w:eastAsia="zh-CN"/>
        </w:rPr>
        <w:br w:type="page" w:clear="all"/>
      </w:r>
      <w:r/>
    </w:p>
    <w:p>
      <w:pPr>
        <w:ind w:firstLine="0"/>
        <w:jc w:val="both"/>
        <w:widowControl w:val="off"/>
        <w:tabs>
          <w:tab w:val="left" w:pos="525" w:leader="none"/>
          <w:tab w:val="left" w:pos="630" w:leader="none"/>
          <w:tab w:val="left" w:pos="735" w:leader="none"/>
          <w:tab w:val="left" w:pos="945" w:leader="none"/>
        </w:tabs>
        <w:rPr>
          <w:rFonts w:ascii="宋体" w:hAnsi="宋体" w:eastAsia="等线" w:cs="Times New Roman"/>
          <w:b/>
          <w:bCs/>
          <w:color w:val="auto"/>
          <w:sz w:val="30"/>
          <w:szCs w:val="30"/>
          <w:highlight w:val="none"/>
          <w:lang w:eastAsia="zh-CN"/>
        </w:rPr>
      </w:pPr>
      <w:r>
        <w:rPr>
          <w:rFonts w:hint="eastAsia" w:ascii="宋体" w:hAnsi="宋体" w:eastAsia="等线" w:cs="Times New Roman"/>
          <w:b/>
          <w:color w:val="auto"/>
          <w:sz w:val="30"/>
          <w:szCs w:val="30"/>
          <w:highlight w:val="none"/>
          <w:lang w:eastAsia="zh-CN"/>
        </w:rPr>
        <w:t xml:space="preserve">附：政府采购政策（包括但不限于下列具体政策要求）</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2.依据财政部、发展改革委发布的《节能产品政府采购品目清单》，本项目中若包含政府强制采购节能产品，只能选择具有国家确定的认证机构出具的、处于有效期之内的节能产品认证证书的产品进行报价。</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both"/>
        <w:widowControl w:val="off"/>
        <w:rPr>
          <w:rFonts w:ascii="宋体" w:hAnsi="宋体" w:cs="宋体"/>
          <w:b/>
          <w:color w:val="auto"/>
          <w:sz w:val="32"/>
          <w:szCs w:val="32"/>
          <w:highlight w:val="none"/>
          <w:lang w:eastAsia="zh-CN"/>
        </w:rPr>
      </w:pPr>
      <w:r>
        <w:rPr>
          <w:rFonts w:hint="eastAsia" w:ascii="宋体" w:hAnsi="宋体" w:cs="宋体"/>
          <w:color w:val="auto"/>
          <w:szCs w:val="24"/>
          <w:highlight w:val="none"/>
          <w:lang w:eastAsia="zh-CN"/>
        </w:rPr>
        <w:t xml:space="preserve">5.有关中小企业政策，如落实政府采购政策需满足的资格要求以及落实政府采购政策的价格调整的相关内容可详见本文件其他章节。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6.中标、成交供应商可采用合同融资形式，中标供应商可凭政府采购合同办理融资贷款，详见政府采购网“政采贷”专栏。</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8.本项目中如有涉及数据库、操作系统、通用</w:t>
      </w:r>
      <w:r>
        <w:rPr>
          <w:rFonts w:hint="eastAsia" w:ascii="宋体" w:hAnsi="宋体" w:cs="宋体"/>
          <w:color w:val="auto"/>
          <w:szCs w:val="24"/>
          <w:highlight w:val="none"/>
          <w:lang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rPr>
          <w:rFonts w:hint="eastAsia" w:ascii="宋体" w:hAnsi="宋体" w:cs="宋体"/>
          <w:color w:val="auto"/>
          <w:szCs w:val="24"/>
          <w:highlight w:val="none"/>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rPr>
          <w:rFonts w:hint="eastAsia" w:ascii="宋体" w:hAnsi="宋体" w:cs="宋体"/>
          <w:color w:val="auto"/>
          <w:szCs w:val="24"/>
          <w:highlight w:val="none"/>
          <w:lang w:val="en" w:eastAsia="zh-CN"/>
        </w:rPr>
        <w:t xml:space="preserve">采购人原则上应当自收到发票后10个工作日内将资金支付到合同约定的供应商账户。</w:t>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firstLine="0"/>
        <w:widowControl w:val="off"/>
        <w:rPr>
          <w:rFonts w:ascii="宋体" w:hAnsi="宋体" w:cs="宋体"/>
          <w:b/>
          <w:bCs/>
          <w:color w:val="auto"/>
          <w:szCs w:val="24"/>
          <w:highlight w:val="none"/>
          <w:lang w:val="zh-CN" w:eastAsia="zh-CN"/>
        </w:rPr>
      </w:pPr>
      <w:r>
        <w:rPr>
          <w:rFonts w:ascii="宋体" w:hAnsi="宋体" w:cs="宋体"/>
          <w:b/>
          <w:bCs/>
          <w:color w:val="auto"/>
          <w:szCs w:val="24"/>
          <w:highlight w:val="none"/>
          <w:lang w:val="zh-CN" w:eastAsia="zh-CN"/>
        </w:rPr>
      </w:r>
      <w:r/>
    </w:p>
    <w:p>
      <w:pPr>
        <w:pStyle w:val="905"/>
        <w:spacing w:after="240"/>
        <w:rPr>
          <w:color w:val="auto"/>
          <w:highlight w:val="none"/>
          <w:lang w:eastAsia="zh-CN"/>
        </w:rPr>
      </w:pPr>
      <w:r/>
      <w:bookmarkStart w:id="15" w:name="_Toc161316667"/>
      <w:r>
        <w:rPr>
          <w:color w:val="auto"/>
          <w:highlight w:val="none"/>
          <w:lang w:eastAsia="zh-CN"/>
        </w:rPr>
        <w:br w:type="page" w:clear="all"/>
      </w:r>
      <w:r>
        <w:rPr>
          <w:rFonts w:hint="eastAsia"/>
          <w:color w:val="auto"/>
          <w:highlight w:val="none"/>
          <w:lang w:eastAsia="zh-CN"/>
        </w:rPr>
        <w:t xml:space="preserve">四、</w:t>
      </w:r>
      <w:bookmarkEnd w:id="15"/>
      <w:r>
        <w:rPr>
          <w:rFonts w:hint="eastAsia"/>
          <w:color w:val="auto"/>
          <w:highlight w:val="none"/>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ascii="宋体" w:hAnsi="宋体" w:cs="宋体"/>
          <w:b/>
          <w:bCs/>
          <w:color w:val="auto"/>
          <w:spacing w:val="-20"/>
          <w:sz w:val="48"/>
          <w:szCs w:val="48"/>
          <w:highlight w:val="none"/>
          <w:lang w:eastAsia="zh-CN"/>
        </w:rPr>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left="420" w:firstLine="0"/>
        <w:jc w:val="both"/>
        <w:widowControl w:val="off"/>
        <w:rPr>
          <w:rFonts w:ascii="等线" w:hAnsi="等线" w:eastAsia="等线" w:cs="Times New Roman"/>
          <w:color w:val="auto"/>
          <w:sz w:val="32"/>
          <w:szCs w:val="32"/>
          <w:highlight w:val="none"/>
          <w:lang w:eastAsia="zh-CN"/>
        </w:rPr>
      </w:pPr>
      <w:r>
        <w:rPr>
          <w:rFonts w:hint="eastAsia" w:ascii="宋体" w:hAnsi="宋体" w:eastAsia="等线" w:cs="宋体"/>
          <w:color w:val="auto"/>
          <w:sz w:val="32"/>
          <w:szCs w:val="32"/>
          <w:highlight w:val="none"/>
          <w:lang w:eastAsia="zh-CN"/>
        </w:rPr>
        <w:t xml:space="preserve">项目名称：</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合同编号：</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甲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乙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签订时间：</w:t>
      </w:r>
      <w:r>
        <w:rPr>
          <w:rFonts w:hint="eastAsia" w:ascii="等线" w:hAnsi="等线" w:eastAsia="等线" w:cs="Times New Roman"/>
          <w:color w:val="auto"/>
          <w:sz w:val="32"/>
          <w:szCs w:val="32"/>
          <w:highlight w:val="none"/>
          <w:u w:val="single"/>
          <w:lang w:eastAsia="zh-CN"/>
        </w:rPr>
        <w:t xml:space="preserve">      </w:t>
      </w:r>
      <w:r>
        <w:rPr>
          <w:rFonts w:ascii="等线" w:hAnsi="等线" w:eastAsia="等线" w:cs="Times New Roman"/>
          <w:color w:val="auto"/>
          <w:sz w:val="32"/>
          <w:szCs w:val="32"/>
          <w:highlight w:val="none"/>
          <w:u w:val="single"/>
          <w:lang w:eastAsia="zh-CN"/>
        </w:rPr>
        <w:t xml:space="preserve">           </w:t>
      </w:r>
      <w:r>
        <w:rPr>
          <w:rFonts w:hint="eastAsia" w:ascii="等线" w:hAnsi="等线" w:eastAsia="等线" w:cs="Times New Roman"/>
          <w:color w:val="auto"/>
          <w:sz w:val="32"/>
          <w:szCs w:val="32"/>
          <w:highlight w:val="none"/>
          <w:u w:val="single"/>
          <w:lang w:eastAsia="zh-CN"/>
        </w:rPr>
        <w:t xml:space="preserve">            </w:t>
      </w:r>
      <w:r/>
    </w:p>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ascii="等线" w:hAnsi="等线" w:eastAsia="黑体" w:cs="Times New Roman"/>
          <w:color w:val="auto"/>
          <w:sz w:val="44"/>
          <w:szCs w:val="44"/>
          <w:highlight w:val="none"/>
          <w:lang w:eastAsia="zh-CN"/>
        </w:rPr>
        <w:br w:type="page" w:clear="all"/>
      </w:r>
      <w:r/>
    </w:p>
    <w:p>
      <w:pPr>
        <w:ind w:firstLine="0"/>
        <w:jc w:val="center"/>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使 用 说 明</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ascii="仿宋_GB2312" w:hAnsi="仿宋_GB2312" w:eastAsia="仿宋_GB2312" w:cs="仿宋_GB2312"/>
          <w:color w:val="auto"/>
          <w:sz w:val="32"/>
          <w:szCs w:val="32"/>
          <w:highlight w:val="none"/>
          <w:lang w:eastAsia="zh-CN"/>
        </w:rPr>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1.本合同标准文本适用于购买现成货物的采购项目，不包括需要供应商定制开发、创新研发的货物采购项目。</w:t>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   </w:t>
      </w:r>
      <w:r>
        <w:rPr>
          <w:rFonts w:hint="eastAsia" w:ascii="仿宋_GB2312" w:hAnsi="仿宋_GB2312" w:eastAsia="仿宋_GB2312" w:cs="仿宋_GB2312"/>
          <w:color w:val="auto"/>
          <w:sz w:val="32"/>
          <w:szCs w:val="32"/>
          <w:highlight w:val="none"/>
          <w:lang w:eastAsia="zh-CN"/>
        </w:rPr>
        <w:t xml:space="preserve">2.本合同标准文本为政府采购货物买卖合同编制提供参考，可以结合采购项目具体情况，对文本做必要的调整修订后使用。</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r/>
    </w:p>
    <w:p>
      <w:pPr>
        <w:ind w:firstLine="880"/>
        <w:jc w:val="both"/>
        <w:spacing w:line="240" w:lineRule="auto"/>
        <w:widowControl w:val="off"/>
        <w:rPr>
          <w:rFonts w:ascii="等线" w:hAnsi="等线" w:eastAsia="黑体" w:cs="Times New Roman"/>
          <w:color w:val="auto"/>
          <w:sz w:val="44"/>
          <w:szCs w:val="44"/>
          <w:highlight w:val="none"/>
          <w:lang w:eastAsia="zh-CN"/>
        </w:rPr>
        <w:sectPr>
          <w:footerReference w:type="default" r:id="rId18"/>
          <w:footnotePr/>
          <w:endnotePr/>
          <w:type w:val="nextPage"/>
          <w:pgSz w:w="11906" w:h="16838" w:orient="portrait"/>
          <w:pgMar w:top="1440" w:right="992" w:bottom="1440" w:left="992" w:header="851" w:footer="992" w:gutter="0"/>
          <w:pgNumType w:start="1"/>
          <w:cols w:num="1" w:sep="0" w:space="425" w:equalWidth="1"/>
          <w:docGrid w:linePitch="360"/>
        </w:sectPr>
      </w:pPr>
      <w:r>
        <w:rPr>
          <w:rFonts w:ascii="等线" w:hAnsi="等线" w:eastAsia="黑体" w:cs="Times New Roman"/>
          <w:color w:val="auto"/>
          <w:sz w:val="44"/>
          <w:szCs w:val="44"/>
          <w:highlight w:val="none"/>
          <w:lang w:eastAsia="zh-CN"/>
        </w:rPr>
      </w:r>
      <w:r/>
    </w:p>
    <w:p>
      <w:pPr>
        <w:ind w:firstLine="0"/>
        <w:jc w:val="center"/>
        <w:keepLines/>
        <w:keepNext/>
        <w:spacing w:before="360" w:after="200" w:line="400" w:lineRule="exact"/>
        <w:widowControl w:val="off"/>
        <w:rPr>
          <w:rFonts w:ascii="黑体" w:hAnsi="华文中宋" w:eastAsia="黑体"/>
          <w:color w:val="auto"/>
          <w:sz w:val="28"/>
          <w:szCs w:val="28"/>
          <w:highlight w:val="none"/>
          <w:lang w:eastAsia="zh-CN"/>
        </w:rPr>
        <w:outlineLvl w:val="1"/>
      </w:pPr>
      <w:r/>
      <w:bookmarkStart w:id="16"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 xml:space="preserve">政府采购合同协议书</w:t>
      </w:r>
      <w:bookmarkEnd w:id="16"/>
      <w:r/>
      <w:r/>
    </w:p>
    <w:p>
      <w:pPr>
        <w:ind w:firstLine="0"/>
        <w:jc w:val="both"/>
        <w:spacing w:line="400" w:lineRule="exact"/>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甲方（全称）：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采购人、受采购人委托签订合同的单位或采购文件约定的合同甲方）</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乙方1（全称）：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（供应商）</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乙方2（全称）：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等线" w:hAnsi="等线" w:eastAsia="等线" w:cs="Times New Roman"/>
          <w:color w:val="auto"/>
          <w:sz w:val="21"/>
          <w:szCs w:val="22"/>
          <w:highlight w:val="none"/>
          <w:lang w:eastAsia="zh-CN"/>
        </w:rPr>
        <w:t xml:space="preserve">乙方</w:t>
      </w:r>
      <w:r>
        <w:rPr>
          <w:rFonts w:hint="eastAsia" w:ascii="宋体" w:hAnsi="宋体" w:eastAsia="等线" w:cs="Times New Roman"/>
          <w:color w:val="auto"/>
          <w:sz w:val="21"/>
          <w:highlight w:val="none"/>
          <w:lang w:eastAsia="zh-CN"/>
        </w:rPr>
        <w:t xml:space="preserve">3</w:t>
      </w:r>
      <w:r>
        <w:rPr>
          <w:rFonts w:hint="eastAsia" w:ascii="等线" w:hAnsi="等线" w:eastAsia="等线" w:cs="Times New Roman"/>
          <w:color w:val="auto"/>
          <w:sz w:val="21"/>
          <w:szCs w:val="22"/>
          <w:highlight w:val="none"/>
          <w:lang w:eastAsia="zh-CN"/>
        </w:rPr>
        <w:t xml:space="preserve">（全称）：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等线" w:hAnsi="等线" w:cs="Times New Roman"/>
          <w:color w:val="auto"/>
          <w:sz w:val="21"/>
          <w:szCs w:val="22"/>
          <w:highlight w:val="none"/>
          <w:lang w:eastAsia="zh-CN"/>
        </w:rPr>
      </w:pPr>
      <w:r>
        <w:rPr>
          <w:rFonts w:ascii="等线" w:hAnsi="等线" w:cs="Times New Roman"/>
          <w:color w:val="auto"/>
          <w:sz w:val="21"/>
          <w:szCs w:val="22"/>
          <w:highlight w:val="none"/>
          <w:lang w:eastAsia="zh-CN"/>
        </w:rPr>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项目信息</w:t>
      </w:r>
      <w:r/>
    </w:p>
    <w:p>
      <w:pPr>
        <w:numPr>
          <w:ilvl w:val="0"/>
          <w:numId w:val="2"/>
        </w:numPr>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采购项目名称：</w:t>
      </w:r>
      <w:r>
        <w:rPr>
          <w:rFonts w:hint="eastAsia" w:ascii="宋体" w:hAnsi="宋体" w:eastAsia="等线" w:cs="Times New Roman"/>
          <w:color w:val="auto"/>
          <w:sz w:val="21"/>
          <w:highlight w:val="none"/>
          <w:u w:val="single"/>
          <w:lang w:eastAsia="zh-CN"/>
        </w:rPr>
        <w:t xml:space="preserve">                                         </w:t>
      </w:r>
      <w:r/>
    </w:p>
    <w:p>
      <w:pPr>
        <w:numPr>
          <w:ilvl w:val="255"/>
          <w:numId w:val="0"/>
        </w:numPr>
        <w:jc w:val="both"/>
        <w:spacing w:line="400" w:lineRule="exact"/>
        <w:widowControl w:val="off"/>
        <w:tabs>
          <w:tab w:val="left" w:pos="999"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采购项目编号：</w:t>
      </w:r>
      <w:r>
        <w:rPr>
          <w:rFonts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（2）采购计划编号：</w:t>
      </w:r>
      <w:r>
        <w:rPr>
          <w:rFonts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（3）项目内容：</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采购标的及数量（台/套</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个</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架</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组等</w:t>
      </w:r>
      <w:r>
        <w:rPr>
          <w:rFonts w:hint="eastAsia" w:ascii="宋体" w:hAnsi="宋体" w:eastAsia="等线" w:cs="Times New Roman"/>
          <w:color w:val="auto"/>
          <w:sz w:val="21"/>
          <w:highlight w:val="none"/>
          <w:lang w:eastAsia="zh-CN"/>
        </w:rPr>
        <w:t xml:space="preserve">）：</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val="en"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品牌：</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lang w:val="en" w:eastAsia="zh-CN"/>
        </w:rPr>
        <w:t xml:space="preserve">     </w:t>
      </w:r>
      <w:r>
        <w:rPr>
          <w:rFonts w:hint="eastAsia" w:ascii="宋体" w:hAnsi="宋体" w:eastAsia="等线" w:cs="宋体"/>
          <w:color w:val="auto"/>
          <w:sz w:val="21"/>
          <w:highlight w:val="none"/>
          <w:lang w:eastAsia="zh-CN"/>
        </w:rPr>
        <w:t xml:space="preserve">规格型号：</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p>
    <w:p>
      <w:pPr>
        <w:ind w:firstLine="945"/>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采购标的的技术要求、商务要求具体见附件。</w:t>
      </w:r>
      <w:r/>
    </w:p>
    <w:p>
      <w:pPr>
        <w:numPr>
          <w:ilvl w:val="255"/>
          <w:numId w:val="0"/>
        </w:numPr>
        <w:ind w:firstLine="945"/>
        <w:jc w:val="both"/>
        <w:spacing w:line="400" w:lineRule="exact"/>
        <w:widowControl w:val="off"/>
        <w:rPr>
          <w:rFonts w:ascii="宋体" w:hAnsi="宋体" w:eastAsia="等线" w:cs="宋体"/>
          <w:color w:val="auto"/>
          <w:sz w:val="21"/>
          <w:highlight w:val="none"/>
          <w:lang w:eastAsia="zh-CN"/>
        </w:rPr>
      </w:pPr>
      <w:r>
        <w:rPr>
          <w:rFonts w:hint="eastAsia" w:ascii="汉仪书宋二S" w:hAnsi="汉仪书宋二S" w:eastAsia="汉仪书宋二S" w:cs="汉仪书宋二S"/>
          <w:color w:val="auto"/>
          <w:sz w:val="21"/>
          <w:highlight w:val="none"/>
          <w:lang w:eastAsia="zh-CN"/>
        </w:rPr>
        <w:t xml:space="preserve">①</w:t>
      </w:r>
      <w:r>
        <w:rPr>
          <w:rFonts w:hint="eastAsia" w:ascii="宋体" w:hAnsi="宋体" w:eastAsia="等线" w:cs="宋体"/>
          <w:color w:val="auto"/>
          <w:sz w:val="21"/>
          <w:highlight w:val="none"/>
          <w:lang w:eastAsia="zh-CN"/>
        </w:rPr>
        <w:t xml:space="preserve">涉及信息类产品，请填写该产品关键部件的品牌、型号：</w:t>
      </w:r>
      <w:r/>
    </w:p>
    <w:p>
      <w:pPr>
        <w:numPr>
          <w:ilvl w:val="255"/>
          <w:numId w:val="0"/>
        </w:num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     标的名称：</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     关键部件：</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品牌：</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型号：</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hint="eastAsia" w:ascii="汉仪书宋二S" w:hAnsi="汉仪书宋二S" w:eastAsia="汉仪书宋二S" w:cs="汉仪书宋二S"/>
          <w:color w:val="auto"/>
          <w:sz w:val="21"/>
          <w:highlight w:val="none"/>
          <w:lang w:eastAsia="zh-CN"/>
        </w:rPr>
        <w:t xml:space="preserve">②</w:t>
      </w:r>
      <w:r>
        <w:rPr>
          <w:rFonts w:hint="eastAsia" w:ascii="宋体" w:hAnsi="宋体" w:cs="宋体"/>
          <w:color w:val="auto"/>
          <w:sz w:val="21"/>
          <w:highlight w:val="none"/>
          <w:lang w:eastAsia="zh-CN"/>
        </w:rPr>
        <w:t xml:space="preserve">涉及车辆采购，请填写是否属于新能源汽车：</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是，《政府采购品目分类目录》底级品目名称：</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数量：</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金额：</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宋体" w:hAnsi="宋体" w:cs="宋体"/>
          <w:color w:val="auto"/>
          <w:sz w:val="21"/>
          <w:highlight w:val="none"/>
          <w:lang w:val="en" w:eastAsia="zh-CN"/>
        </w:rPr>
        <w:t xml:space="preserve">4</w:t>
      </w:r>
      <w:r>
        <w:rPr>
          <w:rFonts w:hint="eastAsia" w:ascii="宋体" w:hAnsi="宋体" w:cs="宋体"/>
          <w:color w:val="auto"/>
          <w:sz w:val="21"/>
          <w:highlight w:val="none"/>
          <w:lang w:eastAsia="zh-CN"/>
        </w:rPr>
        <w:t xml:space="preserve">）政府采购组织形式：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政府集中采购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部门集中采购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分散采购</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val="en" w:eastAsia="zh-CN"/>
        </w:rPr>
        <w:t xml:space="preserve">5</w:t>
      </w:r>
      <w:r>
        <w:rPr>
          <w:rFonts w:hint="eastAsia" w:ascii="宋体" w:hAnsi="宋体" w:cs="宋体"/>
          <w:color w:val="auto"/>
          <w:sz w:val="21"/>
          <w:highlight w:val="none"/>
          <w:lang w:eastAsia="zh-CN"/>
        </w:rPr>
        <w:t xml:space="preserve">）政府采购方式：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公开招标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邀请招标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竞争性谈判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竞争性磋商</w:t>
      </w:r>
      <w:r/>
    </w:p>
    <w:p>
      <w:pPr>
        <w:numPr>
          <w:ilvl w:val="255"/>
          <w:numId w:val="0"/>
        </w:numPr>
        <w:ind w:firstLine="420"/>
        <w:spacing w:line="400" w:lineRule="exact"/>
        <w:rPr>
          <w:rFonts w:ascii="宋体" w:hAnsi="宋体" w:cs="宋体"/>
          <w:color w:val="auto"/>
          <w:sz w:val="21"/>
          <w:highlight w:val="none"/>
          <w:u w:val="single"/>
          <w:lang w:eastAsia="zh-CN"/>
        </w:rPr>
      </w:pPr>
      <w:r>
        <w:rPr>
          <w:rFonts w:hint="eastAsia" w:ascii="宋体" w:hAnsi="宋体" w:eastAsia="华文楷体" w:cs="宋体"/>
          <w:color w:val="auto"/>
          <w:sz w:val="22"/>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询价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单一来源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框架协议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其他：</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（注：在框架协议采购的第二阶段，可选择使用该合同文本）</w:t>
      </w:r>
      <w:r/>
    </w:p>
    <w:p>
      <w:pPr>
        <w:numPr>
          <w:ilvl w:val="255"/>
          <w:numId w:val="0"/>
        </w:numPr>
        <w:ind w:firstLine="220"/>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2"/>
          <w:highlight w:val="none"/>
          <w:lang w:eastAsia="zh-CN"/>
        </w:rPr>
        <w:t xml:space="preserve"> （</w:t>
      </w:r>
      <w:r>
        <w:rPr>
          <w:rFonts w:ascii="宋体" w:hAnsi="宋体" w:eastAsia="华文楷体" w:cs="华文楷体"/>
          <w:color w:val="auto"/>
          <w:sz w:val="22"/>
          <w:highlight w:val="none"/>
          <w:lang w:val="en" w:eastAsia="zh-CN"/>
        </w:rPr>
        <w:t xml:space="preserve">6</w:t>
      </w:r>
      <w:r>
        <w:rPr>
          <w:rFonts w:hint="eastAsia" w:ascii="宋体" w:hAnsi="宋体" w:eastAsia="华文楷体" w:cs="华文楷体"/>
          <w:color w:val="auto"/>
          <w:sz w:val="22"/>
          <w:highlight w:val="none"/>
          <w:lang w:eastAsia="zh-CN"/>
        </w:rPr>
        <w:t xml:space="preserve">）</w:t>
      </w:r>
      <w:r>
        <w:rPr>
          <w:rFonts w:hint="eastAsia" w:ascii="宋体" w:hAnsi="宋体" w:cs="Times New Roman"/>
          <w:color w:val="auto"/>
          <w:sz w:val="21"/>
          <w:highlight w:val="none"/>
          <w:lang w:eastAsia="zh-CN"/>
        </w:rPr>
        <w:t xml:space="preserve">中标（成交）采购标的制造商是否为中小企业：</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本合同是否为专门面向中小企业的采购合同（中小企业预留合同）：</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若本项目不专门面向中小企业采购，是否给予小微企业评审优惠：</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中标（成交）采购标的制造商是否为残疾人福利性单位：</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0"/>
        <w:jc w:val="both"/>
        <w:spacing w:line="400" w:lineRule="exact"/>
        <w:widowControl w:val="off"/>
        <w:rPr>
          <w:rFonts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中标（成交）采购标的制造商是否为监狱企业：</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rPr>
          <w:rFonts w:ascii="宋体" w:hAnsi="宋体" w:eastAsia="等线" w:cs="Times New Roman"/>
          <w:color w:val="auto"/>
          <w:sz w:val="21"/>
          <w:highlight w:val="none"/>
          <w:lang w:val="en" w:eastAsia="zh-CN"/>
        </w:rPr>
        <w:t xml:space="preserve">7</w:t>
      </w:r>
      <w:r>
        <w:rPr>
          <w:rFonts w:hint="eastAsia" w:ascii="宋体" w:hAnsi="宋体" w:eastAsia="等线" w:cs="Times New Roman"/>
          <w:color w:val="auto"/>
          <w:sz w:val="21"/>
          <w:highlight w:val="none"/>
          <w:lang w:eastAsia="zh-CN"/>
        </w:rPr>
        <w:t xml:space="preserve">）合同是否分包：</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分包主要内容：</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分包供应商/制造商名称（如供应商和制造商不同，请分别填写）：</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分包供应商/制造商类型（如果供应商和制造商不同，只填写制造商类型）：</w:t>
      </w:r>
      <w:r/>
    </w:p>
    <w:p>
      <w:pPr>
        <w:ind w:firstLine="840"/>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大型企业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中型企业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小微型企业  </w:t>
      </w:r>
      <w:r/>
    </w:p>
    <w:p>
      <w:pPr>
        <w:ind w:firstLine="840"/>
        <w:jc w:val="both"/>
        <w:spacing w:line="400" w:lineRule="exact"/>
        <w:widowControl w:val="off"/>
        <w:rPr>
          <w:rFonts w:ascii="等线" w:hAnsi="等线" w:eastAsia="华文楷体" w:cs="Times New Roman"/>
          <w:color w:val="auto"/>
          <w:sz w:val="21"/>
          <w:szCs w:val="22"/>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残疾人福利性单位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监狱企业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p>
    <w:p>
      <w:pPr>
        <w:numPr>
          <w:ilvl w:val="255"/>
          <w:numId w:val="0"/>
        </w:numPr>
        <w:jc w:val="both"/>
        <w:spacing w:line="400" w:lineRule="exact"/>
        <w:widowControl w:val="off"/>
        <w:rPr>
          <w:rFonts w:ascii="宋体" w:hAnsi="宋体" w:eastAsia="等线" w:cs="宋体"/>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w:t>
      </w:r>
      <w:r>
        <w:rPr>
          <w:rFonts w:ascii="宋体" w:hAnsi="宋体" w:eastAsia="等线" w:cs="宋体"/>
          <w:color w:val="auto"/>
          <w:sz w:val="21"/>
          <w:highlight w:val="none"/>
          <w:lang w:val="en" w:eastAsia="zh-CN"/>
        </w:rPr>
        <w:t xml:space="preserve">8</w:t>
      </w:r>
      <w:r>
        <w:rPr>
          <w:rFonts w:hint="eastAsia" w:ascii="宋体" w:hAnsi="宋体" w:eastAsia="等线" w:cs="宋体"/>
          <w:color w:val="auto"/>
          <w:sz w:val="21"/>
          <w:highlight w:val="none"/>
          <w:lang w:eastAsia="zh-CN"/>
        </w:rPr>
        <w:t xml:space="preserve">）中标（成交）供应商是否为外商投资企业：</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否</w:t>
      </w:r>
      <w:r/>
    </w:p>
    <w:p>
      <w:pPr>
        <w:ind w:firstLine="440"/>
        <w:spacing w:line="400" w:lineRule="exact"/>
        <w:tabs>
          <w:tab w:val="left" w:pos="1340" w:leader="none"/>
        </w:tabs>
        <w:rPr>
          <w:rFonts w:ascii="宋体" w:hAnsi="宋体" w:cs="宋体"/>
          <w:color w:val="auto"/>
          <w:sz w:val="21"/>
          <w:highlight w:val="none"/>
          <w:u w:val="single"/>
          <w:lang w:eastAsia="zh-CN"/>
        </w:rPr>
      </w:pPr>
      <w:r>
        <w:rPr>
          <w:rFonts w:hint="eastAsia" w:ascii="宋体" w:hAnsi="宋体" w:cs="宋体"/>
          <w:color w:val="auto"/>
          <w:sz w:val="21"/>
          <w:highlight w:val="none"/>
          <w:lang w:eastAsia="zh-CN"/>
        </w:rPr>
        <w:t xml:space="preserve">     外商投资企业类型：</w:t>
      </w:r>
      <w:r>
        <w:rPr>
          <w:rFonts w:ascii="Wingdings" w:hAnsi="Wingdings" w:eastAsia="Wingdings" w:cs="Wingdings"/>
          <w:iCs/>
          <w:color w:val="auto"/>
          <w:sz w:val="21"/>
          <w:highlight w:val="none"/>
          <w:lang w:eastAsia="zh-CN"/>
        </w:rPr>
        <w:t xml:space="preserve"></w:t>
      </w:r>
      <w:r>
        <w:rPr>
          <w:rFonts w:hint="eastAsia" w:ascii="宋体" w:hAnsi="宋体" w:cs="宋体"/>
          <w:color w:val="auto"/>
          <w:sz w:val="21"/>
          <w:highlight w:val="none"/>
          <w:lang w:eastAsia="zh-CN"/>
        </w:rPr>
        <w:t xml:space="preserve">全部由外国投资者投资  </w:t>
      </w:r>
      <w:r>
        <w:rPr>
          <w:rFonts w:ascii="Wingdings" w:hAnsi="Wingdings" w:eastAsia="Wingdings" w:cs="Wingdings"/>
          <w:iCs/>
          <w:color w:val="auto"/>
          <w:sz w:val="21"/>
          <w:highlight w:val="none"/>
          <w:lang w:eastAsia="zh-CN"/>
        </w:rPr>
        <w:t xml:space="preserve"></w:t>
      </w:r>
      <w:r>
        <w:rPr>
          <w:rFonts w:hint="eastAsia" w:ascii="宋体" w:hAnsi="宋体" w:cs="宋体"/>
          <w:iCs/>
          <w:color w:val="auto"/>
          <w:sz w:val="21"/>
          <w:highlight w:val="none"/>
          <w:lang w:eastAsia="zh-CN"/>
        </w:rPr>
        <w:t xml:space="preserve">部分由外国投资者投资</w:t>
      </w:r>
      <w:r/>
    </w:p>
    <w:p>
      <w:pPr>
        <w:numPr>
          <w:ilvl w:val="255"/>
          <w:numId w:val="0"/>
        </w:num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eastAsia="等线" w:cs="宋体"/>
          <w:color w:val="auto"/>
          <w:sz w:val="21"/>
          <w:highlight w:val="none"/>
          <w:lang w:val="en" w:eastAsia="zh-CN"/>
        </w:rPr>
        <w:t xml:space="preserve">9</w:t>
      </w:r>
      <w:r>
        <w:rPr>
          <w:rFonts w:hint="eastAsia" w:ascii="宋体" w:hAnsi="宋体" w:cs="宋体"/>
          <w:color w:val="auto"/>
          <w:sz w:val="21"/>
          <w:highlight w:val="none"/>
          <w:lang w:eastAsia="zh-CN"/>
        </w:rPr>
        <w:t xml:space="preserve">）是否涉及进口产品：</w:t>
      </w:r>
      <w:r/>
    </w:p>
    <w:p>
      <w:pPr>
        <w:numPr>
          <w:ilvl w:val="255"/>
          <w:numId w:val="0"/>
        </w:numPr>
        <w:ind w:firstLine="840"/>
        <w:jc w:val="both"/>
        <w:spacing w:line="400" w:lineRule="exact"/>
        <w:widowControl w:val="off"/>
        <w:rPr>
          <w:rFonts w:ascii="宋体" w:hAnsi="宋体" w:cs="宋体"/>
          <w:color w:val="auto"/>
          <w:sz w:val="21"/>
          <w:highlight w:val="none"/>
          <w:u w:val="single"/>
          <w:lang w:eastAsia="zh-CN"/>
        </w:rPr>
      </w:pPr>
      <w:r>
        <w:rPr>
          <w:rFonts w:hint="eastAsia" w:ascii="宋体" w:hAnsi="宋体" w:eastAsia="等线"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w:t>
      </w:r>
      <w:r>
        <w:rPr>
          <w:rFonts w:hint="eastAsia" w:ascii="宋体" w:hAnsi="宋体" w:eastAsia="等线" w:cs="宋体"/>
          <w:color w:val="auto"/>
          <w:sz w:val="21"/>
          <w:highlight w:val="none"/>
          <w:lang w:eastAsia="zh-CN"/>
        </w:rPr>
        <w:t xml:space="preserve">《政府采购品目分类目录》底级品目名称</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rPr>
          <w:rFonts w:hint="eastAsia" w:ascii="宋体" w:hAnsi="宋体" w:eastAsia="等线" w:cs="宋体"/>
          <w:color w:val="auto"/>
          <w:sz w:val="21"/>
          <w:highlight w:val="none"/>
          <w:lang w:eastAsia="zh-CN"/>
        </w:rPr>
        <w:t xml:space="preserve">金额：</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p>
    <w:p>
      <w:pPr>
        <w:numPr>
          <w:ilvl w:val="255"/>
          <w:numId w:val="0"/>
        </w:numPr>
        <w:ind w:firstLine="84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宋体"/>
          <w:color w:val="auto"/>
          <w:sz w:val="21"/>
          <w:highlight w:val="none"/>
          <w:lang w:eastAsia="zh-CN"/>
        </w:rPr>
        <w:t xml:space="preserve">        国别：</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rPr>
          <w:rFonts w:hint="eastAsia" w:ascii="宋体" w:hAnsi="宋体" w:cs="宋体"/>
          <w:color w:val="auto"/>
          <w:sz w:val="21"/>
          <w:highlight w:val="none"/>
          <w:lang w:eastAsia="zh-CN"/>
        </w:rPr>
        <w:t xml:space="preserve">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规格型号：</w:t>
      </w:r>
      <w:r>
        <w:rPr>
          <w:rFonts w:hint="eastAsia" w:ascii="宋体" w:hAnsi="宋体" w:cs="宋体"/>
          <w:color w:val="auto"/>
          <w:sz w:val="21"/>
          <w:highlight w:val="none"/>
          <w:u w:val="single"/>
          <w:lang w:eastAsia="zh-CN"/>
        </w:rPr>
        <w:t xml:space="preserve">        </w:t>
      </w:r>
      <w:r>
        <w:rPr>
          <w:rFonts w:hint="eastAsia" w:ascii="宋体" w:hAnsi="宋体" w:cs="Times New Roman"/>
          <w:color w:val="auto"/>
          <w:sz w:val="21"/>
          <w:highlight w:val="non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0</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是否涉及节能产品：</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《节能产品政府采购品目清单》的底级品目名称：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cs="Times New Roman"/>
          <w:color w:val="auto"/>
          <w:sz w:val="21"/>
          <w:highlight w:val="none"/>
          <w:lang w:eastAsia="zh-CN"/>
        </w:rPr>
        <w:t xml:space="preserve">是否涉及</w:t>
      </w:r>
      <w:r>
        <w:rPr>
          <w:rFonts w:hint="eastAsia" w:ascii="宋体" w:hAnsi="宋体" w:eastAsia="等线" w:cs="Times New Roman"/>
          <w:color w:val="auto"/>
          <w:sz w:val="21"/>
          <w:highlight w:val="none"/>
          <w:lang w:eastAsia="zh-CN"/>
        </w:rPr>
        <w:t xml:space="preserve">环境标志</w:t>
      </w:r>
      <w:r>
        <w:rPr>
          <w:rFonts w:hint="eastAsia" w:ascii="宋体" w:hAnsi="宋体" w:cs="Times New Roman"/>
          <w:color w:val="auto"/>
          <w:sz w:val="21"/>
          <w:highlight w:val="none"/>
          <w:lang w:eastAsia="zh-CN"/>
        </w:rPr>
        <w:t xml:space="preserve">产品：</w:t>
      </w:r>
      <w:r/>
    </w:p>
    <w:p>
      <w:pPr>
        <w:numPr>
          <w:ilvl w:val="255"/>
          <w:numId w:val="0"/>
        </w:numPr>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《环境标志产品政府采购品目清单》的底级品目名称：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1"/>
          <w:highlight w:val="none"/>
          <w:lang w:eastAsia="zh-CN"/>
        </w:rPr>
        <w:t xml:space="preserve">          </w:t>
      </w:r>
      <w:r>
        <w:rPr>
          <w:rFonts w:hint="eastAsia" w:ascii="宋体" w:hAnsi="宋体" w:cs="Times New Roman"/>
          <w:color w:val="auto"/>
          <w:sz w:val="21"/>
          <w:highlight w:val="none"/>
          <w:lang w:eastAsia="zh-CN"/>
        </w:rPr>
        <w:t xml:space="preserve">是否涉及绿色产品： </w:t>
      </w:r>
      <w:r/>
    </w:p>
    <w:p>
      <w:pPr>
        <w:ind w:firstLine="420"/>
        <w:spacing w:line="400" w:lineRule="exact"/>
        <w:rPr>
          <w:rFonts w:ascii="宋体" w:hAnsi="宋体" w:cs="华文楷体"/>
          <w:color w:val="auto"/>
          <w:sz w:val="22"/>
          <w:highlight w:val="none"/>
          <w:u w:val="singl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是，绿色产品政府采购相关政策确定的底级品目名称：</w:t>
      </w:r>
      <w:r>
        <w:rPr>
          <w:rFonts w:hint="eastAsia" w:ascii="宋体" w:hAnsi="宋体" w:cs="华文楷体"/>
          <w:color w:val="auto"/>
          <w:sz w:val="22"/>
          <w:highlight w:val="none"/>
          <w:u w:val="singl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ind w:firstLine="420"/>
        <w:spacing w:line="400" w:lineRule="exact"/>
        <w:rPr>
          <w:rFonts w:ascii="宋体" w:hAnsi="宋体" w:eastAsia="华文楷体" w:cs="华文楷体"/>
          <w:color w:val="auto"/>
          <w:sz w:val="21"/>
          <w:highlight w:val="non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1</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涉及商品包装和快递包装的，是否参考</w:t>
      </w:r>
      <w:r>
        <w:rPr>
          <w:rFonts w:hint="eastAsia" w:ascii="宋体" w:hAnsi="宋体" w:eastAsia="等线" w:cs="Times New Roman"/>
          <w:color w:val="auto"/>
          <w:sz w:val="21"/>
          <w:highlight w:val="none"/>
          <w:lang w:eastAsia="zh-CN"/>
        </w:rPr>
        <w:t xml:space="preserve">《商品包装政府采购需求标准（试行）》《快递包装政府采购需求标准（试行）》</w:t>
      </w:r>
      <w:r>
        <w:rPr>
          <w:rFonts w:hint="eastAsia" w:ascii="宋体" w:hAnsi="宋体" w:cs="Times New Roman"/>
          <w:color w:val="auto"/>
          <w:sz w:val="21"/>
          <w:highlight w:val="none"/>
          <w:lang w:eastAsia="zh-CN"/>
        </w:rPr>
        <w:t xml:space="preserve">明确产品及相关快递服务的具体包装要求：</w:t>
      </w:r>
      <w:r/>
    </w:p>
    <w:p>
      <w:pPr>
        <w:numPr>
          <w:ilvl w:val="255"/>
          <w:numId w:val="0"/>
        </w:numPr>
        <w:ind w:firstLine="840"/>
        <w:jc w:val="both"/>
        <w:spacing w:line="400" w:lineRule="exact"/>
        <w:widowControl w:val="off"/>
        <w:rPr>
          <w:rFonts w:ascii="宋体" w:hAnsi="宋体"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不涉及</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合同金额</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（1）合同金额小写：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分包金额（如有）小写：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（注：固定单价合同应填写单价和最高限价）</w:t>
      </w:r>
      <w:r/>
    </w:p>
    <w:p>
      <w:pPr>
        <w:numPr>
          <w:ilvl w:val="255"/>
          <w:numId w:val="0"/>
        </w:numPr>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（2）合同定价方式（采用组合定价方式的，可以勾选多项）：</w:t>
      </w:r>
      <w:r/>
    </w:p>
    <w:p>
      <w:p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固定总价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固定单价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固定费率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成本补偿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绩效激励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Calibri" w:hAnsi="Calibri" w:cs="Times New Roman"/>
          <w:color w:val="auto"/>
          <w:sz w:val="21"/>
          <w:szCs w:val="22"/>
          <w:highlight w:val="none"/>
          <w:lang w:eastAsia="zh-CN"/>
        </w:rPr>
      </w:pPr>
      <w:r>
        <w:rPr>
          <w:rFonts w:hint="eastAsia" w:ascii="宋体" w:hAnsi="宋体" w:cs="Times New Roman"/>
          <w:color w:val="auto"/>
          <w:sz w:val="21"/>
          <w:szCs w:val="22"/>
          <w:highlight w:val="none"/>
          <w:lang w:eastAsia="zh-CN"/>
        </w:rPr>
        <w:t xml:space="preserve">（3）付款方式（按项目实际勾选填写）：</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全额付款：</w:t>
      </w:r>
      <w:r>
        <w:rPr>
          <w:rFonts w:hint="eastAsia" w:ascii="宋体" w:hAnsi="宋体" w:eastAsia="等线" w:cs="Times New Roman"/>
          <w:color w:val="auto"/>
          <w:sz w:val="21"/>
          <w:highlight w:val="none"/>
          <w:u w:val="single"/>
          <w:lang w:eastAsia="zh-CN"/>
        </w:rPr>
        <w:t xml:space="preserve">     （应明确一次性支付合同款项的条件）                    </w:t>
      </w:r>
      <w:r/>
    </w:p>
    <w:p>
      <w:pPr>
        <w:ind w:firstLine="630"/>
        <w:jc w:val="both"/>
        <w:spacing w:line="400" w:lineRule="exact"/>
        <w:widowControl w:val="off"/>
        <w:rPr>
          <w:rFonts w:ascii="等线" w:hAnsi="等线" w:eastAsia="等线" w:cs="Times New Roman"/>
          <w:color w:val="auto"/>
          <w:sz w:val="21"/>
          <w:szCs w:val="22"/>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分期付款：</w:t>
      </w:r>
      <w:r>
        <w:rPr>
          <w:rFonts w:hint="eastAsia" w:ascii="宋体" w:hAnsi="宋体" w:eastAsia="等线" w:cs="Times New Roman"/>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highlight w:val="none"/>
          <w:lang w:eastAsia="zh-CN"/>
        </w:rPr>
        <w:t xml:space="preserve">，其中涉及预付款的：</w:t>
      </w:r>
      <w:r>
        <w:rPr>
          <w:rFonts w:hint="eastAsia" w:ascii="宋体" w:hAnsi="宋体" w:eastAsia="等线" w:cs="Times New Roman"/>
          <w:color w:val="auto"/>
          <w:sz w:val="21"/>
          <w:highlight w:val="none"/>
          <w:u w:val="single"/>
          <w:lang w:eastAsia="zh-CN"/>
        </w:rPr>
        <w:t xml:space="preserve"> （应明确预付款的支付比例和支付条件） </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成本补偿：</w:t>
      </w:r>
      <w:r>
        <w:rPr>
          <w:rFonts w:hint="eastAsia" w:ascii="宋体" w:hAnsi="宋体" w:eastAsia="等线" w:cs="Times New Roman"/>
          <w:color w:val="auto"/>
          <w:sz w:val="21"/>
          <w:highlight w:val="none"/>
          <w:u w:val="single"/>
          <w:lang w:eastAsia="zh-CN"/>
        </w:rPr>
        <w:t xml:space="preserve">      （应明确按照成本补偿方式的支付方式和支付条件）   </w:t>
      </w:r>
      <w:r/>
    </w:p>
    <w:p>
      <w:pPr>
        <w:ind w:firstLine="630"/>
        <w:jc w:val="both"/>
        <w:spacing w:line="400" w:lineRule="exact"/>
        <w:widowControl w:val="off"/>
        <w:rPr>
          <w:rFonts w:ascii="宋体" w:hAnsi="宋体" w:eastAsia="等线"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绩效激励：</w:t>
      </w:r>
      <w:r>
        <w:rPr>
          <w:rFonts w:hint="eastAsia" w:ascii="宋体" w:hAnsi="宋体" w:eastAsia="等线" w:cs="Times New Roman"/>
          <w:color w:val="auto"/>
          <w:sz w:val="21"/>
          <w:highlight w:val="none"/>
          <w:u w:val="single"/>
          <w:lang w:eastAsia="zh-CN"/>
        </w:rPr>
        <w:t xml:space="preserve">      （应明确按照绩效激励方式的支付方式和支付条件）   </w:t>
      </w:r>
      <w:r/>
    </w:p>
    <w:p>
      <w:pPr>
        <w:numPr>
          <w:ilvl w:val="0"/>
          <w:numId w:val="1"/>
        </w:numPr>
        <w:jc w:val="both"/>
        <w:spacing w:line="400" w:lineRule="exact"/>
        <w:widowControl w:val="off"/>
        <w:rPr>
          <w:rFonts w:ascii="宋体" w:hAnsi="宋体" w:eastAsia="等线" w:cs="Times New Roman"/>
          <w:b/>
          <w:color w:val="auto"/>
          <w:sz w:val="21"/>
          <w:highlight w:val="none"/>
          <w:u w:val="single"/>
          <w:lang w:eastAsia="zh-CN"/>
        </w:rPr>
      </w:pPr>
      <w:r>
        <w:rPr>
          <w:rFonts w:hint="eastAsia" w:ascii="宋体" w:hAnsi="宋体" w:eastAsia="等线" w:cs="Times New Roman"/>
          <w:b/>
          <w:color w:val="auto"/>
          <w:sz w:val="21"/>
          <w:highlight w:val="none"/>
          <w:lang w:eastAsia="zh-CN"/>
        </w:rPr>
        <w:t xml:space="preserve">合同履行</w:t>
      </w:r>
      <w:r/>
    </w:p>
    <w:p>
      <w:p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（1）起始日期：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日，完成日期：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（2）履约地点</w:t>
      </w:r>
      <w:r>
        <w:rPr>
          <w:rFonts w:hint="eastAsia" w:ascii="宋体" w:hAnsi="宋体" w:eastAsia="等线" w:cs="宋体"/>
          <w:bCs/>
          <w:color w:val="auto"/>
          <w:sz w:val="21"/>
          <w:highlight w:val="none"/>
          <w:lang w:eastAsia="zh-CN"/>
        </w:rPr>
        <w:t xml:space="preserve">：</w:t>
      </w:r>
      <w:r>
        <w:rPr>
          <w:rFonts w:hint="eastAsia" w:ascii="宋体" w:hAnsi="宋体" w:eastAsia="等线" w:cs="宋体"/>
          <w:color w:val="auto"/>
          <w:sz w:val="21"/>
          <w:highlight w:val="none"/>
          <w:u w:val="single"/>
          <w:lang w:eastAsia="zh-CN"/>
        </w:rPr>
        <w:t xml:space="preserve">                             </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eastAsia="等线" w:cs="宋体"/>
          <w:bCs/>
          <w:color w:val="auto"/>
          <w:sz w:val="21"/>
          <w:highlight w:val="none"/>
          <w:lang w:eastAsia="zh-CN"/>
        </w:rPr>
        <w:t xml:space="preserve">（</w:t>
      </w:r>
      <w:r>
        <w:rPr>
          <w:rFonts w:ascii="宋体" w:hAnsi="宋体" w:eastAsia="等线" w:cs="宋体"/>
          <w:bCs/>
          <w:color w:val="auto"/>
          <w:sz w:val="21"/>
          <w:highlight w:val="none"/>
          <w:lang w:eastAsia="zh-CN"/>
        </w:rPr>
        <w:t xml:space="preserve">3）履约担保：</w:t>
      </w:r>
      <w:r>
        <w:rPr>
          <w:rFonts w:hint="eastAsia" w:ascii="宋体" w:hAnsi="宋体" w:cs="宋体"/>
          <w:color w:val="auto"/>
          <w:sz w:val="21"/>
          <w:szCs w:val="22"/>
          <w:highlight w:val="none"/>
          <w:lang w:eastAsia="zh-CN"/>
        </w:rPr>
        <w:t xml:space="preserve">是否收取履约保证金：</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w:t>
      </w:r>
      <w:r>
        <w:rPr>
          <w:rFonts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ind w:firstLine="440"/>
        <w:spacing w:line="400" w:lineRule="exact"/>
        <w:rPr>
          <w:rFonts w:ascii="宋体" w:hAnsi="宋体" w:eastAsia="等线" w:cs="宋体"/>
          <w:bCs/>
          <w:color w:val="auto"/>
          <w:sz w:val="21"/>
          <w:highlight w:val="none"/>
          <w:lang w:eastAsia="zh-CN"/>
        </w:rPr>
      </w:pPr>
      <w:r>
        <w:rPr>
          <w:rFonts w:ascii="宋体" w:hAnsi="宋体" w:eastAsia="华文楷体" w:cs="宋体"/>
          <w:bCs/>
          <w:color w:val="auto"/>
          <w:sz w:val="22"/>
          <w:highlight w:val="none"/>
          <w:lang w:eastAsia="zh-CN"/>
        </w:rPr>
        <w:t xml:space="preserve">  </w:t>
      </w:r>
      <w:r>
        <w:rPr>
          <w:rFonts w:hint="eastAsia" w:ascii="宋体" w:hAnsi="宋体" w:eastAsia="等线" w:cs="宋体"/>
          <w:bCs/>
          <w:color w:val="auto"/>
          <w:sz w:val="21"/>
          <w:highlight w:val="none"/>
          <w:lang w:eastAsia="zh-CN"/>
        </w:rPr>
        <w:t xml:space="preserve">收取履约保证金形式：</w:t>
      </w:r>
      <w:r>
        <w:rPr>
          <w:rFonts w:hint="eastAsia" w:ascii="宋体" w:hAnsi="宋体" w:eastAsia="等线" w:cs="宋体"/>
          <w:bCs/>
          <w:color w:val="auto"/>
          <w:sz w:val="21"/>
          <w:highlight w:val="none"/>
          <w:u w:val="single"/>
          <w:lang w:eastAsia="zh-CN"/>
        </w:rPr>
        <w:t xml:space="preserve">以履约保函形式缴纳或提交。</w:t>
      </w:r>
      <w:r>
        <w:rPr>
          <w:rFonts w:ascii="宋体" w:hAnsi="宋体" w:eastAsia="等线" w:cs="宋体"/>
          <w:bCs/>
          <w:color w:val="auto"/>
          <w:sz w:val="21"/>
          <w:highlight w:val="none"/>
          <w:lang w:eastAsia="zh-CN"/>
        </w:rPr>
        <w:t xml:space="preserve">                            </w:t>
      </w:r>
      <w:r/>
    </w:p>
    <w:p>
      <w:pPr>
        <w:ind w:firstLine="440"/>
        <w:spacing w:line="400" w:lineRule="exact"/>
        <w:rPr>
          <w:rFonts w:ascii="宋体" w:hAnsi="宋体" w:eastAsia="等线" w:cs="宋体"/>
          <w:bCs/>
          <w:color w:val="auto"/>
          <w:sz w:val="21"/>
          <w:highlight w:val="none"/>
          <w:lang w:eastAsia="zh-CN"/>
        </w:rPr>
      </w:pPr>
      <w:r>
        <w:rPr>
          <w:rFonts w:ascii="宋体" w:hAnsi="宋体" w:eastAsia="等线" w:cs="宋体"/>
          <w:bCs/>
          <w:color w:val="auto"/>
          <w:sz w:val="21"/>
          <w:highlight w:val="none"/>
          <w:lang w:eastAsia="zh-CN"/>
        </w:rPr>
        <w:t xml:space="preserve">  收取履约保证金金额：</w:t>
      </w:r>
      <w:r>
        <w:rPr>
          <w:rFonts w:hint="eastAsia" w:ascii="宋体" w:hAnsi="宋体" w:eastAsia="等线" w:cs="宋体"/>
          <w:bCs/>
          <w:color w:val="auto"/>
          <w:sz w:val="21"/>
          <w:highlight w:val="none"/>
          <w:u w:val="single"/>
          <w:lang w:eastAsia="zh-CN"/>
        </w:rPr>
        <w:t xml:space="preserve">合同价款的5</w:t>
      </w:r>
      <w:r>
        <w:rPr>
          <w:rFonts w:ascii="宋体" w:hAnsi="宋体" w:eastAsia="等线" w:cs="宋体"/>
          <w:bCs/>
          <w:color w:val="auto"/>
          <w:sz w:val="21"/>
          <w:highlight w:val="none"/>
          <w:u w:val="single"/>
          <w:lang w:eastAsia="zh-CN"/>
        </w:rPr>
        <w:t xml:space="preserve">%  </w:t>
      </w:r>
      <w:r>
        <w:rPr>
          <w:rFonts w:ascii="宋体" w:hAnsi="宋体" w:eastAsia="等线" w:cs="宋体"/>
          <w:bCs/>
          <w:color w:val="auto"/>
          <w:sz w:val="21"/>
          <w:highlight w:val="none"/>
          <w:lang w:eastAsia="zh-CN"/>
        </w:rPr>
        <w:t xml:space="preserve">                          </w:t>
      </w:r>
      <w:r/>
    </w:p>
    <w:p>
      <w:pPr>
        <w:ind w:firstLine="420"/>
        <w:jc w:val="both"/>
        <w:spacing w:line="400" w:lineRule="exact"/>
        <w:widowControl w:val="off"/>
        <w:rPr>
          <w:rFonts w:ascii="宋体" w:hAnsi="宋体" w:eastAsia="等线" w:cs="宋体"/>
          <w:bCs/>
          <w:color w:val="auto"/>
          <w:sz w:val="21"/>
          <w:highlight w:val="none"/>
          <w:lang w:eastAsia="zh-CN"/>
        </w:rPr>
      </w:pPr>
      <w:r>
        <w:rPr>
          <w:rFonts w:ascii="宋体" w:hAnsi="宋体" w:eastAsia="等线" w:cs="宋体"/>
          <w:bCs/>
          <w:color w:val="auto"/>
          <w:sz w:val="21"/>
          <w:highlight w:val="none"/>
          <w:lang w:eastAsia="zh-CN"/>
        </w:rPr>
        <w:t xml:space="preserve">  履约担保期限：</w:t>
      </w:r>
      <w:r>
        <w:rPr>
          <w:rFonts w:hint="eastAsia" w:ascii="宋体" w:hAnsi="宋体" w:eastAsia="等线" w:cs="宋体"/>
          <w:bCs/>
          <w:color w:val="auto"/>
          <w:sz w:val="21"/>
          <w:highlight w:val="none"/>
          <w:u w:val="single"/>
          <w:lang w:eastAsia="zh-CN"/>
        </w:rPr>
        <w:t xml:space="preserve">货物安装、调试、验收合格后</w:t>
      </w:r>
      <w:r>
        <w:rPr>
          <w:rFonts w:ascii="宋体" w:hAnsi="宋体" w:eastAsia="等线" w:cs="宋体"/>
          <w:bCs/>
          <w:color w:val="auto"/>
          <w:sz w:val="21"/>
          <w:highlight w:val="none"/>
          <w:u w:val="single"/>
          <w:lang w:eastAsia="zh-CN"/>
        </w:rPr>
        <w:t xml:space="preserve">10个工作日内退还。</w:t>
      </w:r>
      <w:r>
        <w:rPr>
          <w:rFonts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履约保证金的缴纳时间：</w:t>
      </w:r>
      <w:r>
        <w:rPr>
          <w:rFonts w:ascii="宋体" w:hAnsi="宋体" w:eastAsia="等线" w:cs="宋体"/>
          <w:bCs/>
          <w:color w:val="auto"/>
          <w:sz w:val="21"/>
          <w:highlight w:val="none"/>
          <w:u w:val="single"/>
          <w:lang w:eastAsia="zh-CN"/>
        </w:rPr>
        <w:t xml:space="preserve"> 乙方在签订合同后5个工作日内，向甲方提交履约保证金。</w:t>
      </w:r>
      <w:r>
        <w:rPr>
          <w:rFonts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退付办法：</w:t>
      </w:r>
      <w:r>
        <w:rPr>
          <w:rFonts w:hint="eastAsia" w:ascii="宋体" w:hAnsi="宋体" w:eastAsia="等线" w:cs="宋体"/>
          <w:bCs/>
          <w:color w:val="auto"/>
          <w:sz w:val="21"/>
          <w:highlight w:val="none"/>
          <w:u w:val="single"/>
          <w:lang w:eastAsia="zh-CN"/>
        </w:rPr>
        <w:t xml:space="preserve">与乙方提交履约保证金的方式相同。</w:t>
      </w:r>
      <w:r>
        <w:rPr>
          <w:rFonts w:ascii="宋体" w:hAnsi="宋体" w:eastAsia="等线" w:cs="宋体"/>
          <w:bCs/>
          <w:color w:val="auto"/>
          <w:sz w:val="21"/>
          <w:highlight w:val="none"/>
          <w:lang w:eastAsia="zh-CN"/>
        </w:rPr>
        <w:t xml:space="preserve">                                      </w:t>
      </w:r>
      <w:r/>
    </w:p>
    <w:p>
      <w:pPr>
        <w:ind w:left="3360" w:hanging="2730"/>
        <w:spacing w:line="400" w:lineRule="exact"/>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履约保证金不予退还的情形：</w:t>
      </w:r>
      <w:r>
        <w:rPr>
          <w:rFonts w:hint="eastAsia" w:ascii="宋体" w:hAnsi="宋体" w:eastAsia="等线" w:cs="宋体"/>
          <w:bCs/>
          <w:color w:val="auto"/>
          <w:sz w:val="21"/>
          <w:highlight w:val="none"/>
          <w:u w:val="single"/>
          <w:lang w:eastAsia="zh-CN"/>
        </w:rPr>
        <w:t xml:space="preserve">①由于乙方的原因不能履约的，②在履行合同期间发生重大安全事故，给甲方造成不良影响和严重经济损失的。</w:t>
      </w:r>
      <w:r/>
    </w:p>
    <w:p>
      <w:pPr>
        <w:ind w:firstLine="63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逾期退还履约保证金的违约责任：</w:t>
      </w:r>
      <w:r>
        <w:rPr>
          <w:rFonts w:hint="eastAsia" w:ascii="宋体" w:hAnsi="宋体" w:eastAsia="等线" w:cs="宋体"/>
          <w:bCs/>
          <w:color w:val="auto"/>
          <w:sz w:val="21"/>
          <w:highlight w:val="none"/>
          <w:u w:val="single"/>
          <w:lang w:eastAsia="zh-CN"/>
        </w:rPr>
        <w:t xml:space="preserve">承担履约保证金金额千分之二</w:t>
      </w:r>
      <w:r>
        <w:rPr>
          <w:rFonts w:ascii="宋体" w:hAnsi="宋体" w:eastAsia="等线" w:cs="宋体"/>
          <w:bCs/>
          <w:color w:val="auto"/>
          <w:sz w:val="21"/>
          <w:highlight w:val="none"/>
          <w:u w:val="single"/>
          <w:lang w:eastAsia="zh-CN"/>
        </w:rPr>
        <w:t xml:space="preserve">/天的违约金。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（4）分期履行要求：</w:t>
      </w:r>
      <w:r>
        <w:rPr>
          <w:rFonts w:hint="eastAsia" w:ascii="宋体" w:hAnsi="宋体" w:eastAsia="等线" w:cs="宋体"/>
          <w:bCs/>
          <w:color w:val="auto"/>
          <w:sz w:val="21"/>
          <w:highlight w:val="none"/>
          <w:u w:val="single"/>
          <w:lang w:eastAsia="zh-CN"/>
        </w:rPr>
        <w:t xml:space="preserve">                                                        </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bCs/>
          <w:color w:val="auto"/>
          <w:sz w:val="21"/>
          <w:highlight w:val="none"/>
          <w:lang w:eastAsia="zh-CN"/>
        </w:rPr>
        <w:t xml:space="preserve">（5）风险处置措施和替代方案：</w:t>
      </w:r>
      <w:r>
        <w:rPr>
          <w:rFonts w:hint="eastAsia" w:ascii="宋体" w:hAnsi="宋体" w:eastAsia="等线" w:cs="宋体"/>
          <w:color w:val="auto"/>
          <w:sz w:val="21"/>
          <w:highlight w:val="none"/>
          <w:u w:val="single"/>
          <w:lang w:eastAsia="zh-CN"/>
        </w:rPr>
        <w:t xml:space="preserve">                                              </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合同验收</w:t>
      </w:r>
      <w:r/>
    </w:p>
    <w:p>
      <w:pPr>
        <w:numPr>
          <w:ilvl w:val="0"/>
          <w:numId w:val="3"/>
        </w:numPr>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验收组织方式：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自行组织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委托第三方组织</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验收主体：</w:t>
      </w:r>
      <w:r>
        <w:rPr>
          <w:rFonts w:hint="eastAsia" w:ascii="宋体" w:hAnsi="宋体" w:eastAsia="等线" w:cs="Times New Roman"/>
          <w:bCs/>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是否邀请本项目的其他供应商参加验收：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是否邀请专家参加验收：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是否邀请服务对象参加验收：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是否邀请第三方检测机构参加验收：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是否进行抽查检测：</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是，抽查比例：</w:t>
      </w:r>
      <w:r>
        <w:rPr>
          <w:rFonts w:hint="eastAsia" w:ascii="宋体" w:hAnsi="宋体" w:eastAsia="等线" w:cs="Times New Roman"/>
          <w:bCs/>
          <w:color w:val="auto"/>
          <w:sz w:val="21"/>
          <w:highlight w:val="none"/>
          <w:u w:val="single"/>
          <w:lang w:eastAsia="zh-CN"/>
        </w:rPr>
        <w:t xml:space="preserve">        </w:t>
      </w: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cs="Times New Roman"/>
          <w:bCs/>
          <w:color w:val="auto"/>
          <w:sz w:val="21"/>
          <w:highlight w:val="none"/>
          <w:u w:val="single"/>
          <w:lang w:eastAsia="zh-CN"/>
        </w:rPr>
      </w:pPr>
      <w:r>
        <w:rPr>
          <w:rFonts w:hint="eastAsia" w:ascii="宋体" w:hAnsi="宋体" w:cs="Times New Roman"/>
          <w:bCs/>
          <w:color w:val="auto"/>
          <w:sz w:val="21"/>
          <w:highlight w:val="none"/>
          <w:lang w:eastAsia="zh-CN"/>
        </w:rPr>
        <w:t xml:space="preserve">是否存在破坏性检测：</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是，</w:t>
      </w:r>
      <w:r>
        <w:rPr>
          <w:rFonts w:hint="eastAsia" w:ascii="宋体" w:hAnsi="宋体" w:cs="Times New Roman"/>
          <w:bCs/>
          <w:color w:val="auto"/>
          <w:sz w:val="21"/>
          <w:highlight w:val="none"/>
          <w:u w:val="single"/>
          <w:lang w:eastAsia="zh-CN"/>
        </w:rPr>
        <w:t xml:space="preserve">（应明确对被破坏的检测产品的处理方式）</w:t>
      </w:r>
      <w:r/>
    </w:p>
    <w:p>
      <w:pPr>
        <w:ind w:firstLine="840"/>
        <w:jc w:val="both"/>
        <w:spacing w:line="400" w:lineRule="exact"/>
        <w:widowControl w:val="off"/>
        <w:rPr>
          <w:rFonts w:ascii="宋体" w:hAnsi="宋体" w:cs="Times New Roman"/>
          <w:bCs/>
          <w:color w:val="auto"/>
          <w:sz w:val="21"/>
          <w:highlight w:val="none"/>
          <w:lang w:eastAsia="zh-CN"/>
        </w:rPr>
      </w:pPr>
      <w:r>
        <w:rPr>
          <w:rFonts w:hint="eastAsia" w:ascii="宋体" w:hAnsi="宋体"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验收组织的其他事项：</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（2）履约验收时间：</w:t>
      </w:r>
      <w:r>
        <w:rPr>
          <w:rFonts w:hint="eastAsia" w:ascii="宋体" w:hAnsi="宋体" w:eastAsia="等线" w:cs="Times New Roman"/>
          <w:bCs/>
          <w:color w:val="auto"/>
          <w:sz w:val="21"/>
          <w:highlight w:val="none"/>
          <w:u w:val="single"/>
          <w:lang w:eastAsia="zh-CN"/>
        </w:rPr>
        <w:t xml:space="preserve">（计划于何时验收/供应商提出验收申请之日起   日内组织验收）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（3）履约验收方式：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一次性验收         </w:t>
      </w:r>
      <w:r/>
    </w:p>
    <w:p>
      <w:pPr>
        <w:ind w:firstLine="0"/>
        <w:jc w:val="both"/>
        <w:spacing w:line="400" w:lineRule="exact"/>
        <w:widowControl w:val="off"/>
        <w:rPr>
          <w:rFonts w:ascii="宋体" w:hAnsi="宋体"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分期/分项验收：</w:t>
      </w:r>
      <w:r>
        <w:rPr>
          <w:rFonts w:hint="eastAsia" w:ascii="宋体" w:hAnsi="宋体" w:eastAsia="等线" w:cs="Times New Roman"/>
          <w:bCs/>
          <w:color w:val="auto"/>
          <w:sz w:val="21"/>
          <w:highlight w:val="none"/>
          <w:u w:val="single"/>
          <w:lang w:eastAsia="zh-CN"/>
        </w:rPr>
        <w:t xml:space="preserve"> （应明确分期</w:t>
      </w:r>
      <w:r>
        <w:rPr>
          <w:rFonts w:ascii="宋体" w:hAnsi="宋体" w:eastAsia="等线" w:cs="Times New Roman"/>
          <w:bCs/>
          <w:color w:val="auto"/>
          <w:sz w:val="21"/>
          <w:highlight w:val="none"/>
          <w:u w:val="single"/>
          <w:lang w:val="en" w:eastAsia="zh-CN"/>
        </w:rPr>
        <w:t xml:space="preserve">/</w:t>
      </w:r>
      <w:r>
        <w:rPr>
          <w:rFonts w:hint="eastAsia" w:ascii="宋体" w:hAnsi="宋体" w:eastAsia="等线" w:cs="Times New Roman"/>
          <w:bCs/>
          <w:color w:val="auto"/>
          <w:sz w:val="21"/>
          <w:highlight w:val="none"/>
          <w:u w:val="single"/>
          <w:lang w:val="en" w:eastAsia="zh-CN"/>
        </w:rPr>
        <w:t xml:space="preserve">分项验收的工作安排</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（4）履约验收程序：</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（5）履约验收的内容：</w:t>
      </w:r>
      <w:r>
        <w:rPr>
          <w:rFonts w:hint="eastAsia" w:ascii="宋体" w:hAnsi="宋体" w:eastAsia="等线" w:cs="Times New Roman"/>
          <w:bCs/>
          <w:color w:val="auto"/>
          <w:sz w:val="21"/>
          <w:highlight w:val="none"/>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（6）履约验收标准：</w:t>
      </w:r>
      <w:r>
        <w:rPr>
          <w:rFonts w:hint="eastAsia" w:ascii="宋体" w:hAnsi="宋体" w:eastAsia="等线" w:cs="Times New Roman"/>
          <w:bCs/>
          <w:color w:val="auto"/>
          <w:sz w:val="21"/>
          <w:highlight w:val="none"/>
          <w:u w:val="singl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（7）是否以采购活动中供应商提供的样品作为参考：</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否</w:t>
      </w:r>
      <w:r/>
    </w:p>
    <w:p>
      <w:pPr>
        <w:ind w:firstLine="42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（8）履约验收其他事项：</w:t>
      </w:r>
      <w:r>
        <w:rPr>
          <w:rFonts w:hint="eastAsia" w:ascii="宋体" w:hAnsi="宋体" w:eastAsia="等线" w:cs="宋体"/>
          <w:bCs/>
          <w:color w:val="auto"/>
          <w:sz w:val="21"/>
          <w:highlight w:val="none"/>
          <w:u w:val="single"/>
          <w:lang w:eastAsia="zh-CN"/>
        </w:rPr>
        <w:t xml:space="preserve">      （产权过户登记等）          </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组成合同的文件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（1）政府采购合同协议书及其变更、补充协议</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（2）政府采购合同专用条款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（3）政府采购合同通用条款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（4）中标（成交）通知书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（5）投标（响应）文件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（6）采购文件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（7）有关技术文件，图纸</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（8）国家法律、行政法规和规章制度规定或合同约定的作为合同组成部分的其他文件</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合同生效</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本合同自</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生效。</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合同份数</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本合同一式</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份，甲方执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份，乙方执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份，均具有同等法律效力。</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合同订立时间：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月</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日</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合同订立地点：</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附件：具体标的及其技术要求和商务要求、联合协议、分包意向协议等。</w:t>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Calibri" w:hAnsi="Calibri" w:cs="Times New Roman"/>
          <w:color w:val="auto"/>
          <w:sz w:val="21"/>
          <w:szCs w:val="22"/>
          <w:highlight w:val="none"/>
          <w:lang w:eastAsia="zh-CN"/>
        </w:rPr>
      </w:pPr>
      <w:r>
        <w:rPr>
          <w:rFonts w:ascii="Calibri" w:hAnsi="Calibri" w:cs="Times New Roman"/>
          <w:color w:val="auto"/>
          <w:sz w:val="21"/>
          <w:szCs w:val="22"/>
          <w:highlight w:val="none"/>
          <w:lang w:eastAsia="zh-CN"/>
        </w:rPr>
      </w:r>
      <w:r/>
    </w:p>
    <w:tbl>
      <w:tblPr>
        <w:tblStyle w:val="91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4"/>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甲方</w:t>
            </w:r>
            <w:r>
              <w:rPr>
                <w:rFonts w:hint="eastAsia" w:ascii="等线" w:hAnsi="等线" w:eastAsia="等线" w:cs="Times New Roman"/>
                <w:color w:val="auto"/>
                <w:sz w:val="21"/>
                <w:highlight w:val="none"/>
                <w:lang w:eastAsia="zh-CN"/>
              </w:rPr>
              <w:t xml:space="preserve">（采购人</w:t>
            </w:r>
            <w:r>
              <w:rPr>
                <w:rFonts w:hint="eastAsia" w:ascii="宋体" w:hAnsi="宋体" w:eastAsia="等线" w:cs="Times New Roman"/>
                <w:color w:val="auto"/>
                <w:sz w:val="21"/>
                <w:highlight w:val="none"/>
                <w:lang w:eastAsia="zh-CN"/>
              </w:rPr>
              <w:t xml:space="preserve">、受采购人委托签订合同的单位或</w:t>
            </w:r>
            <w:r>
              <w:rPr>
                <w:rFonts w:hint="eastAsia" w:ascii="等线" w:hAnsi="等线" w:eastAsia="等线" w:cs="Times New Roman"/>
                <w:color w:val="auto"/>
                <w:sz w:val="21"/>
                <w:highlight w:val="none"/>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乙方</w:t>
            </w:r>
            <w:r>
              <w:rPr>
                <w:rFonts w:hint="eastAsia" w:ascii="等线" w:hAnsi="等线" w:eastAsia="等线" w:cs="Times New Roman"/>
                <w:color w:val="auto"/>
                <w:sz w:val="21"/>
                <w:highlight w:val="none"/>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10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586"/>
        </w:trPr>
        <w:tc>
          <w:tcPr>
            <w:gridSpan w:val="4"/>
            <w:tcBorders>
              <w:top w:val="single" w:color="auto" w:sz="2" w:space="0"/>
            </w:tcBorders>
            <w:tcW w:w="5000" w:type="pct"/>
            <w:vAlign w:val="center"/>
            <w:textDirection w:val="lrTb"/>
            <w:noWrap w:val="false"/>
          </w:tcPr>
          <w:p>
            <w:pPr>
              <w:ind w:firstLine="0"/>
              <w:spacing w:before="156"/>
              <w:widowControl w:val="off"/>
              <w:rPr>
                <w:rFonts w:ascii="等线" w:hAnsi="等线" w:eastAsia="等线" w:cs="Times New Roman"/>
                <w:color w:val="auto"/>
                <w:spacing w:val="20"/>
                <w:sz w:val="21"/>
                <w:highlight w:val="none"/>
                <w:lang w:eastAsia="zh-CN"/>
              </w:rPr>
            </w:pPr>
            <w:r>
              <w:rPr>
                <w:rFonts w:hint="eastAsia" w:ascii="宋体" w:hAnsi="宋体" w:eastAsia="等线" w:cs="Times New Roman"/>
                <w:color w:val="auto"/>
                <w:sz w:val="21"/>
                <w:highlight w:val="none"/>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ascii="黑体" w:hAnsi="黑体" w:eastAsia="黑体"/>
          <w:color w:val="auto"/>
          <w:sz w:val="28"/>
          <w:szCs w:val="28"/>
          <w:highlight w:val="none"/>
          <w:lang w:eastAsia="zh-CN"/>
        </w:rPr>
        <w:outlineLvl w:val="1"/>
      </w:pPr>
      <w:r>
        <w:rPr>
          <w:rFonts w:ascii="宋体" w:hAnsi="宋体" w:eastAsia="Arial"/>
          <w:color w:val="auto"/>
          <w:sz w:val="21"/>
          <w:highlight w:val="none"/>
          <w:u w:val="single"/>
          <w:lang w:eastAsia="zh-CN"/>
        </w:rPr>
        <w:br w:type="page" w:clear="all"/>
      </w:r>
      <w:bookmarkStart w:id="17" w:name="_Toc27624"/>
      <w:r>
        <w:rPr>
          <w:rFonts w:hint="eastAsia" w:ascii="黑体" w:hAnsi="黑体" w:eastAsia="黑体"/>
          <w:color w:val="auto"/>
          <w:sz w:val="28"/>
          <w:szCs w:val="28"/>
          <w:highlight w:val="none"/>
          <w:lang w:eastAsia="zh-CN"/>
        </w:rPr>
        <w:t xml:space="preserve">第二节 政府采购合同通用条款</w:t>
      </w:r>
      <w:bookmarkEnd w:id="17"/>
      <w:r/>
      <w:r/>
    </w:p>
    <w:p>
      <w:pPr>
        <w:ind w:firstLine="0"/>
        <w:spacing w:line="400" w:lineRule="exact"/>
        <w:widowControl w:val="off"/>
        <w:tabs>
          <w:tab w:val="left" w:pos="8820" w:leader="none"/>
          <w:tab w:val="left" w:pos="9345" w:leader="none"/>
          <w:tab w:val="left" w:pos="9765" w:leader="none"/>
        </w:tabs>
        <w:rPr>
          <w:rFonts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1. </w:t>
      </w:r>
      <w:r>
        <w:rPr>
          <w:rFonts w:hint="eastAsia" w:ascii="宋体" w:hAnsi="宋体" w:cs="宋体"/>
          <w:b/>
          <w:bCs/>
          <w:color w:val="auto"/>
          <w:szCs w:val="22"/>
          <w:highlight w:val="none"/>
          <w:lang w:eastAsia="zh-CN"/>
        </w:rPr>
        <w:t xml:space="preserve">定义</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1.1合同当事人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（1）采购人（以下简称甲方）是指使用财政性资金，通过政府采购方式向供应商购买货物及其相关服务的国家机关、事业单位、团体组织。</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（2）供应商（以下简称乙方）是指参加政府采购活动并且中标（成交），向采购人提供合同约定的货物及其相关服务的法人、非法人组织或者自然人。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（3）其他合同主体是指除采购人和供应商以外，</w:t>
      </w:r>
      <w:r>
        <w:rPr>
          <w:rFonts w:hint="eastAsia" w:ascii="宋体" w:hAnsi="宋体" w:cs="宋体"/>
          <w:bCs/>
          <w:color w:val="auto"/>
          <w:sz w:val="21"/>
          <w:highlight w:val="none"/>
          <w:lang w:eastAsia="zh-CN"/>
        </w:rPr>
        <w:t xml:space="preserve">依法参与合同缔结或履行，享有权利、承担义务的合同当事人</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1.2本合同下列术语应解释为：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（1）“合同”系指</w:t>
      </w:r>
      <w:r>
        <w:rPr>
          <w:rFonts w:hint="eastAsia" w:ascii="宋体" w:hAnsi="宋体" w:cs="宋体"/>
          <w:bCs/>
          <w:color w:val="auto"/>
          <w:sz w:val="21"/>
          <w:highlight w:val="none"/>
          <w:lang w:eastAsia="zh-CN"/>
        </w:rPr>
        <w:t xml:space="preserve">合同当事人意思表示达成一致的任何协议，包括签署的</w:t>
      </w:r>
      <w:r>
        <w:rPr>
          <w:rFonts w:hint="eastAsia" w:ascii="宋体" w:hAnsi="宋体" w:cs="宋体"/>
          <w:color w:val="auto"/>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（2）“合同价款”系指根据本合同规定乙方在全面履行合同义务后甲方应支付给乙方的价款。</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技术资料和材料等。</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（4）“相关服务”系指根据合同规定，乙方应提供的与货物有关的技术、管理和</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（7）其他术语解释，见【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numPr>
          <w:ilvl w:val="0"/>
          <w:numId w:val="4"/>
        </w:numPr>
        <w:jc w:val="both"/>
        <w:spacing w:line="400" w:lineRule="exact"/>
        <w:widowControl w:val="off"/>
        <w:rPr>
          <w:rFonts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合同标的及金额</w:t>
      </w:r>
      <w:r/>
    </w:p>
    <w:p>
      <w:pPr>
        <w:ind w:firstLine="420"/>
        <w:spacing w:line="400" w:lineRule="exact"/>
        <w:widowControl w:val="off"/>
        <w:rPr>
          <w:rFonts w:ascii="宋体" w:hAnsi="宋体" w:cs="宋体"/>
          <w:b/>
          <w:bCs/>
          <w:i/>
          <w:iCs/>
          <w:color w:val="auto"/>
          <w:sz w:val="21"/>
          <w:highlight w:val="none"/>
          <w:lang w:eastAsia="zh-CN"/>
        </w:rPr>
      </w:pPr>
      <w:r>
        <w:rPr>
          <w:rFonts w:hint="eastAsia" w:ascii="宋体" w:hAnsi="宋体" w:cs="宋体"/>
          <w:color w:val="auto"/>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任何费用。</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3. 履行合同的时间、地点和方式</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 乙方应当在约定的时间、地点，按照约定方式履行合同。</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4. 甲方的权利和义务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4.3 甲方有权要求乙方对缺陷部分予以修复，并按合同约定享有货物保修及其他合同约定的权利。</w:t>
      </w:r>
      <w:r/>
    </w:p>
    <w:p>
      <w:pPr>
        <w:ind w:firstLine="420"/>
        <w:jc w:val="both"/>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4.4 甲方应当按照合同约定及时对交付的货物进行验收，未在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约定的期限内对乙方履约提出任何异议或者向乙方作出任何说明的，视为验收通过。</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4.5 甲方应当根据合同约定及时向乙方支付合同价款，不得以内部人员变更、履行内部付款流程等为由，拒绝或迟延支付。</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4.6 国家法律法规规定及</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约定应由甲方承担的其他义务和责任。</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5. 乙方的权利和义务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5.1 签署合同后，乙方应确定项目负责人（或项目联系人），负责与本合同有关的事务。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line="40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5.3乙方有权根据合同约定向甲方收取合同价款。</w:t>
      </w:r>
      <w:r/>
    </w:p>
    <w:p>
      <w:pPr>
        <w:ind w:firstLine="422"/>
        <w:jc w:val="both"/>
        <w:spacing w:line="400" w:lineRule="exact"/>
        <w:widowControl w:val="off"/>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5.4国家法律法规规定及</w:t>
      </w:r>
      <w:r>
        <w:rPr>
          <w:rFonts w:hint="eastAsia" w:ascii="宋体" w:hAnsi="宋体" w:cs="宋体"/>
          <w:b/>
          <w:bCs/>
          <w:color w:val="auto"/>
          <w:sz w:val="22"/>
          <w:szCs w:val="20"/>
          <w:highlight w:val="none"/>
          <w:lang w:eastAsia="zh-CN"/>
        </w:rPr>
        <w:t xml:space="preserve">【政府采购合同专用条款】</w:t>
      </w:r>
      <w:r>
        <w:rPr>
          <w:rFonts w:hint="eastAsia" w:ascii="宋体" w:hAnsi="宋体" w:cs="宋体"/>
          <w:color w:val="auto"/>
          <w:sz w:val="22"/>
          <w:szCs w:val="20"/>
          <w:highlight w:val="none"/>
          <w:lang w:eastAsia="zh-CN"/>
        </w:rPr>
        <w:t xml:space="preserve">约定应由乙方承担的其他义务和责任。</w:t>
      </w:r>
      <w:r/>
    </w:p>
    <w:p>
      <w:pPr>
        <w:numPr>
          <w:ilvl w:val="0"/>
          <w:numId w:val="5"/>
        </w:numPr>
        <w:jc w:val="both"/>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合同履行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6.1 甲乙双方应当按照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约定顺序履行合同义务；如果没有先后顺序的，应当同时履行。</w:t>
      </w:r>
      <w:r/>
    </w:p>
    <w:p>
      <w:pPr>
        <w:ind w:firstLine="420"/>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7. 货物包装、运输、保险和交付要求</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7.1 本合同</w:t>
      </w:r>
      <w:r>
        <w:rPr>
          <w:rFonts w:hint="eastAsia" w:ascii="宋体" w:hAnsi="宋体" w:cs="宋体"/>
          <w:bCs/>
          <w:color w:val="auto"/>
          <w:sz w:val="21"/>
          <w:highlight w:val="none"/>
          <w:lang w:eastAsia="zh-CN"/>
        </w:rPr>
        <w:t xml:space="preserve">涉及商品包装、快递包装的，</w:t>
      </w:r>
      <w:r>
        <w:rPr>
          <w:rFonts w:hint="eastAsia" w:ascii="宋体" w:hAnsi="宋体" w:cs="宋体"/>
          <w:color w:val="auto"/>
          <w:sz w:val="21"/>
          <w:highlight w:val="none"/>
          <w:lang w:eastAsia="zh-CN"/>
        </w:rPr>
        <w:t xml:space="preserve">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包装应适应远距离运输、防潮、防震、防锈和防野蛮装卸等要求，确保货物安全无损地运抵</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约定的</w:t>
      </w:r>
      <w:r>
        <w:rPr>
          <w:rFonts w:hint="eastAsia" w:ascii="宋体" w:hAnsi="宋体" w:cs="宋体"/>
          <w:color w:val="auto"/>
          <w:sz w:val="21"/>
          <w:highlight w:val="none"/>
          <w:lang w:eastAsia="zh-CN"/>
        </w:rPr>
        <w:t xml:space="preserve">指定现场。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7.2 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乙方负责办理将货物运抵本合同规定的交货地点，并装卸、交付至甲方的一切运输事项，相关费用应包含在合同价款中。</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7.3 货物保险要求按</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规定执行</w:t>
      </w:r>
      <w:r>
        <w:rPr>
          <w:rFonts w:hint="eastAsia" w:ascii="宋体" w:hAnsi="宋体" w:cs="宋体"/>
          <w:color w:val="auto"/>
          <w:sz w:val="21"/>
          <w:highlight w:val="none"/>
          <w:lang w:eastAsia="zh-CN"/>
        </w:rPr>
        <w:t xml:space="preserve">。</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7.5 乙方在运输到达之前应提前通知甲方，并提示货物运输装卸的注意事项，甲方配合乙方做好货物的接收工作。</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7.6 如因包装、运输问题导致货物损毁、丢失或者品质下降，甲方有权要求降价、换货、拒收部分或整批货物，由此产生的费用和损失，均由乙方承担。</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8. 质量标准和保证</w:t>
      </w:r>
      <w:r/>
    </w:p>
    <w:p>
      <w:pPr>
        <w:ind w:firstLine="420"/>
        <w:spacing w:line="400" w:lineRule="exact"/>
        <w:widowControl w:val="off"/>
        <w:rPr>
          <w:rFonts w:ascii="宋体" w:hAnsi="宋体" w:cs="宋体"/>
          <w:b/>
          <w:color w:val="auto"/>
          <w:sz w:val="21"/>
          <w:highlight w:val="none"/>
          <w:lang w:eastAsia="zh-CN"/>
        </w:rPr>
      </w:pPr>
      <w:r>
        <w:rPr>
          <w:rFonts w:hint="eastAsia" w:ascii="宋体" w:hAnsi="宋体" w:cs="宋体"/>
          <w:color w:val="auto"/>
          <w:sz w:val="21"/>
          <w:highlight w:val="none"/>
          <w:lang w:eastAsia="zh-CN"/>
        </w:rPr>
        <w:t xml:space="preserve">8.1 质量标准</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（2）采用中华人民共和国法定计量单位。</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（3）乙方所提供的货物应符合国家有关安全、环保、卫生的规定。</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8.2 保证</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规定或乙方书面承诺（两者以较长的为准）的质量保证期内，本保证保持有效。</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（2）在质量保证期内所发现的缺陷，甲方应尽快以书面形式通知乙方。</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（3）乙方收到通知后，应在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规定的响应时间内以合理的速度免费维修或更换有缺陷的货物或部件。</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9. 权利瑕疵担保</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9.1 乙方保证对其出售的货物享有合法的权利。</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9.2 </w:t>
      </w:r>
      <w:r>
        <w:rPr>
          <w:rFonts w:hint="eastAsia" w:ascii="宋体" w:hAnsi="宋体" w:cs="宋体"/>
          <w:color w:val="auto"/>
          <w:sz w:val="21"/>
          <w:szCs w:val="15"/>
          <w:highlight w:val="none"/>
          <w:lang w:eastAsia="zh-CN"/>
        </w:rPr>
        <w:t xml:space="preserve">乙方保证在交付的货物上不存在抵押权等担保物权。</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9.3 如甲方使用上述货物构成对第三人侵权的，则由乙方承担全部责任。</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10. 知识产权保护</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10.1 乙方对其所销售的货物应当享有知识产权或经权利人合法授权，保证没有侵犯任何第三人的知识产权等权利。</w:t>
      </w:r>
      <w:bookmarkStart w:id="18" w:name="_Hlk163047038"/>
      <w:r>
        <w:rPr>
          <w:rFonts w:hint="eastAsia" w:ascii="宋体" w:hAnsi="宋体" w:cs="宋体"/>
          <w:color w:val="auto"/>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cs="宋体"/>
          <w:color w:val="auto"/>
          <w:sz w:val="21"/>
          <w:highlight w:val="none"/>
          <w:lang w:eastAsia="zh-CN"/>
        </w:rPr>
        <w:t xml:space="preserve">。</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11. 保密义务</w:t>
      </w:r>
      <w:r/>
    </w:p>
    <w:p>
      <w:pPr>
        <w:ind w:firstLine="420"/>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中约定。</w:t>
      </w:r>
      <w:r/>
    </w:p>
    <w:p>
      <w:pPr>
        <w:ind w:firstLine="0"/>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12. 合同价款支付</w:t>
      </w:r>
      <w:r/>
    </w:p>
    <w:p>
      <w:pPr>
        <w:ind w:firstLine="420"/>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12.1 合同价款支付按照国库集中支付制度及财政管理相关规定执行。</w:t>
      </w:r>
      <w:r/>
    </w:p>
    <w:p>
      <w:pPr>
        <w:ind w:firstLine="420"/>
        <w:jc w:val="both"/>
        <w:widowControl w:val="off"/>
        <w:tabs>
          <w:tab w:val="left" w:pos="-200" w:leader="none"/>
          <w:tab w:val="left" w:pos="525" w:leader="none"/>
          <w:tab w:val="left" w:pos="630" w:leader="none"/>
          <w:tab w:val="left" w:pos="735" w:leader="none"/>
          <w:tab w:val="left" w:pos="945" w:leader="none"/>
        </w:tabs>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12.2 付款方式：</w:t>
      </w:r>
      <w:r/>
    </w:p>
    <w:p>
      <w:pPr>
        <w:ind w:firstLine="0"/>
        <w:jc w:val="both"/>
        <w:spacing w:line="400" w:lineRule="exact"/>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13. 履约保证金</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13.1 </w:t>
      </w:r>
      <w:r>
        <w:rPr>
          <w:rFonts w:hint="eastAsia" w:ascii="宋体" w:hAnsi="宋体" w:cs="宋体"/>
          <w:color w:val="auto"/>
          <w:sz w:val="21"/>
          <w:szCs w:val="15"/>
          <w:highlight w:val="none"/>
          <w:lang w:eastAsia="zh-CN"/>
        </w:rPr>
        <w:t xml:space="preserve">乙方应当以支票、汇票、本票或者金融机构、担保机构出具的保函等非现金形式提交。</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13.2 如果乙方出现</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约定情形的</w:t>
      </w:r>
      <w:r>
        <w:rPr>
          <w:rFonts w:hint="eastAsia" w:ascii="宋体" w:hAnsi="宋体" w:cs="宋体"/>
          <w:color w:val="auto"/>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13.3 甲方在项目通过验收后按照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规定的时间内将履约保证金退还乙方；逾期退还的，乙方可要求甲方支付违约金，违约金按照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规定支付。</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14. </w:t>
      </w:r>
      <w:r>
        <w:rPr>
          <w:rFonts w:hint="eastAsia" w:ascii="宋体" w:hAnsi="宋体" w:cs="宋体"/>
          <w:b/>
          <w:color w:val="auto"/>
          <w:szCs w:val="22"/>
          <w:highlight w:val="none"/>
          <w:lang w:eastAsia="zh-CN"/>
        </w:rPr>
        <w:t xml:space="preserve">售后服务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14.1 除项目不涉及或采购活动中明确约定无须承担外，乙方还应提供下列服务：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（1）货物的现场移动、安装、调试、启动监督及技术支持；</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（2）提供货物组装和维修所需的专用工具和辅助材料；</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highlight w:val="none"/>
          <w:lang w:eastAsia="zh-CN"/>
        </w:rPr>
        <w:t xml:space="preserve">约定的期限内对所有的货物实施运行监督、维修，但前提条件是该服务并不能免除乙方在质量保证期内所承担的义务；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auto"/>
          <w:sz w:val="21"/>
          <w:szCs w:val="15"/>
          <w:highlight w:val="none"/>
          <w:lang w:eastAsia="zh-CN"/>
        </w:rPr>
        <w:t xml:space="preserve">；</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（5）依照法律、行政法规的规定或者按照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约定，货物在有效使用年限届满后应予回收的，乙方负有自行或者委托第三人对货物予以回收的义务；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规定由乙方提供的其他服务。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14.2 乙方提供的售后服务的费用已包含在合同价款中，甲方不再另行支付。</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15. 违约责任</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15.1质量瑕疵的违约责任</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乙方提供的产品不符合合同约定的质量标准或存在产品质量缺陷，甲方有权要求乙方根据</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要求</w:t>
      </w:r>
      <w:r>
        <w:rPr>
          <w:rFonts w:hint="eastAsia" w:ascii="宋体" w:hAnsi="宋体" w:cs="宋体"/>
          <w:color w:val="auto"/>
          <w:sz w:val="21"/>
          <w:highlight w:val="none"/>
          <w:lang w:eastAsia="zh-CN"/>
        </w:rPr>
        <w:t xml:space="preserve">及时修理、重作、更换，并承担由此给甲方造成的损失。</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15.2 迟延交货的违约责任</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规定执行。如果涉及公共利益，且赔偿金额无法弥补公共利益损失，甲方可要求继续履行或者采取其他补救措施。</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15.3 迟延支付的违约责任</w:t>
      </w:r>
      <w:r/>
    </w:p>
    <w:p>
      <w:pPr>
        <w:ind w:firstLine="420"/>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甲方存在迟延支付乙方合同款项的，应当承担</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规定的逾期付款利息。</w:t>
      </w:r>
      <w:r/>
    </w:p>
    <w:p>
      <w:pPr>
        <w:ind w:firstLine="420"/>
        <w:widowControl w:val="off"/>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15.4其他违约责任根据项目实际需要按</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w:t>
      </w:r>
      <w:r/>
    </w:p>
    <w:p>
      <w:pPr>
        <w:ind w:firstLine="42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（1）需方内部工作安排、计划调整等自身原因；</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（2）中央、省、市、区级政策变动，以及规划、计划调整等外部原因；</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（3）其他需方原因。</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本合同对合同变更、中止或终止合同有其他特殊约定的，按该特殊约定执行。</w:t>
      </w:r>
      <w:r/>
    </w:p>
    <w:p>
      <w:pPr>
        <w:numPr>
          <w:ilvl w:val="0"/>
          <w:numId w:val="6"/>
        </w:numPr>
        <w:jc w:val="both"/>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合同变更、中止与终止</w:t>
      </w:r>
      <w:r/>
    </w:p>
    <w:p>
      <w:pPr>
        <w:ind w:firstLine="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16.1合同的变更</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widowControl w:val="off"/>
        <w:rPr>
          <w:rFonts w:ascii="宋体" w:hAnsi="宋体" w:cs="宋体"/>
          <w:color w:val="auto"/>
          <w:sz w:val="21"/>
          <w:highlight w:val="none"/>
          <w:lang w:eastAsia="zh-CN"/>
        </w:rPr>
      </w:pPr>
      <w:r>
        <w:rPr>
          <w:rFonts w:ascii="宋体" w:hAnsi="宋体" w:cs="宋体"/>
          <w:color w:val="auto"/>
          <w:sz w:val="21"/>
          <w:highlight w:val="none"/>
          <w:lang w:eastAsia="zh-CN"/>
        </w:rPr>
        <w:t xml:space="preserve">16.2</w:t>
      </w:r>
      <w:r>
        <w:rPr>
          <w:rFonts w:hint="eastAsia" w:ascii="宋体" w:hAnsi="宋体" w:cs="宋体"/>
          <w:color w:val="auto"/>
          <w:sz w:val="21"/>
          <w:highlight w:val="none"/>
          <w:lang w:eastAsia="zh-CN"/>
        </w:rPr>
        <w:t xml:space="preserve">合同的中止</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eastAsia="zh-CN"/>
        </w:rPr>
        <w:t xml:space="preserve">1）合同履行过程中因供应商就采购文件、采购过程或结果提起投诉的，甲方认为有必要的，</w:t>
      </w:r>
      <w:r>
        <w:rPr>
          <w:rFonts w:hint="eastAsia" w:ascii="宋体" w:hAnsi="宋体" w:cs="宋体"/>
          <w:color w:val="auto"/>
          <w:sz w:val="21"/>
          <w:highlight w:val="none"/>
          <w:lang w:eastAsia="zh-CN"/>
        </w:rPr>
        <w:t xml:space="preserve">可以中止合同的履行。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eastAsia="zh-CN"/>
        </w:rPr>
        <w:t xml:space="preserve">2）</w:t>
      </w:r>
      <w:r>
        <w:rPr>
          <w:rFonts w:hint="eastAsia" w:ascii="宋体" w:hAnsi="宋体" w:cs="宋体"/>
          <w:color w:val="auto"/>
          <w:sz w:val="21"/>
          <w:highlight w:val="none"/>
          <w:lang w:eastAsia="zh-CN"/>
        </w:rPr>
        <w:t xml:space="preserve">合同履行过程中，如果乙方出现以下情形之一的：</w:t>
      </w:r>
      <w:r>
        <w:rPr>
          <w:rFonts w:ascii="宋体" w:hAnsi="宋体" w:cs="宋体"/>
          <w:color w:val="auto"/>
          <w:sz w:val="21"/>
          <w:highlight w:val="none"/>
          <w:lang w:eastAsia="zh-CN"/>
        </w:rPr>
        <w:t xml:space="preserve">1．经营状况严重恶化；2．转移财产、抽逃资金，以逃避债务；3．丧失商业信誉；4．有丧失或者可能丧失履约能力的其他情形</w:t>
      </w:r>
      <w:r>
        <w:rPr>
          <w:rFonts w:hint="eastAsia" w:ascii="宋体" w:hAnsi="宋体" w:cs="宋体"/>
          <w:color w:val="auto"/>
          <w:sz w:val="21"/>
          <w:highlight w:val="none"/>
          <w:lang w:eastAsia="zh-CN"/>
        </w:rPr>
        <w:t xml:space="preserve">，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eastAsia="zh-CN"/>
        </w:rPr>
        <w:t xml:space="preserve">3）乙方分立、合并或者变更住所的，应当及时以书面形式告知甲方。乙方没有</w:t>
      </w:r>
      <w:r>
        <w:rPr>
          <w:rFonts w:hint="eastAsia" w:ascii="宋体" w:hAnsi="宋体" w:cs="宋体"/>
          <w:color w:val="auto"/>
          <w:sz w:val="21"/>
          <w:highlight w:val="none"/>
          <w:lang w:eastAsia="zh-CN"/>
        </w:rPr>
        <w:t xml:space="preserve">及时告知甲方，致使合同履行发生困难的，甲方可以中止合同履行并要求乙方承担由此给甲方造成的损失。</w:t>
      </w:r>
      <w:r/>
    </w:p>
    <w:p>
      <w:pPr>
        <w:ind w:firstLine="420"/>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eastAsia="zh-CN"/>
        </w:rPr>
        <w:t xml:space="preserve">4</w:t>
      </w:r>
      <w:r>
        <w:rPr>
          <w:rFonts w:hint="eastAsia" w:ascii="宋体" w:hAnsi="宋体" w:cs="宋体"/>
          <w:color w:val="auto"/>
          <w:sz w:val="21"/>
          <w:highlight w:val="none"/>
          <w:lang w:eastAsia="zh-CN"/>
        </w:rPr>
        <w:t xml:space="preserve">）甲方不得以行政区划调整、政府换届、机构或者职能调整以及相关责任人更替为由中止合同。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16.3合同的终止</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（1）合同因有效期限届满而终止；</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（2）乙方未按合同约定履行，构成根本性违约的，甲方有权终止合同，并追究乙方的违约责任。</w:t>
      </w:r>
      <w:r/>
    </w:p>
    <w:p>
      <w:pPr>
        <w:ind w:firstLine="440"/>
        <w:spacing w:line="400" w:lineRule="exact"/>
        <w:rPr>
          <w:rFonts w:ascii="宋体" w:hAnsi="宋体" w:cs="宋体"/>
          <w:color w:val="auto"/>
          <w:sz w:val="22"/>
          <w:highlight w:val="none"/>
          <w:lang w:eastAsia="zh-CN"/>
        </w:rPr>
      </w:pPr>
      <w:r>
        <w:rPr>
          <w:rFonts w:hint="eastAsia" w:ascii="宋体" w:hAnsi="宋体" w:cs="宋体"/>
          <w:color w:val="auto"/>
          <w:sz w:val="22"/>
          <w:highlight w:val="none"/>
          <w:lang w:eastAsia="zh-CN"/>
        </w:rPr>
        <w:t xml:space="preserve">16.4 </w:t>
      </w:r>
      <w:r>
        <w:rPr>
          <w:rFonts w:hint="eastAsia" w:ascii="宋体" w:hAnsi="宋体" w:cs="宋体"/>
          <w:color w:val="auto"/>
          <w:sz w:val="21"/>
          <w:highlight w:val="none"/>
          <w:lang w:eastAsia="zh-CN"/>
        </w:rPr>
        <w:t xml:space="preserve">涉及国家利益、社会公共利益的情形</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17. 合同分包</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17.1 乙方不得将合同转包给其他供应商。涉及合同分包的，乙方应根据采购文件和投标（响应）文件规定进行合同分包。</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17.2 乙方执行政府采购政策向中小企业依法分包的，乙方应当按采购文件和投标（响应）文件签订分包意向协议，分包意向协议属于本合同组成部分。</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18. 不可抗力</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18.1 不可抗力是指合同双方不能预见、不能避免且不能克服的客观情况。</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18.2 任何一方对由于不可抗力造成的部分或全部不能履行合同不承担违约责任。但迟延履行后发生不可抗力的，不能免除责任。</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19. 解决争议的方法</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19.2 选择仲裁的，应在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中明确仲裁机构及仲裁地；通过诉讼方式解决的，可以在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中进一步约定选择与争议有实际联系的地点的人民法院管辖，但管辖法院的约定不得违反级别管辖和专属管辖的规定。</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19.3 如甲乙双方有争议的事项不影响合同其他部分的履行，在争议解决期间，合同其他部分应当继续履行。</w:t>
      </w:r>
      <w:r/>
    </w:p>
    <w:p>
      <w:pPr>
        <w:ind w:firstLine="0"/>
        <w:spacing w:line="400" w:lineRule="exact"/>
        <w:widowControl w:val="off"/>
        <w:rPr>
          <w:rFonts w:ascii="宋体" w:hAnsi="宋体" w:cs="宋体"/>
          <w:color w:val="auto"/>
          <w:szCs w:val="22"/>
          <w:highlight w:val="none"/>
          <w:lang w:eastAsia="zh-CN"/>
        </w:rPr>
      </w:pPr>
      <w:r>
        <w:rPr>
          <w:rFonts w:hint="eastAsia" w:ascii="宋体" w:hAnsi="宋体" w:cs="宋体"/>
          <w:b/>
          <w:color w:val="auto"/>
          <w:szCs w:val="22"/>
          <w:highlight w:val="none"/>
          <w:lang w:eastAsia="zh-CN"/>
        </w:rPr>
        <w:t xml:space="preserve">20. 政府采购政策</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20.1 </w:t>
      </w:r>
      <w:r>
        <w:rPr>
          <w:rFonts w:hint="eastAsia" w:ascii="宋体" w:hAnsi="宋体" w:cs="宋体"/>
          <w:color w:val="auto"/>
          <w:sz w:val="21"/>
          <w:szCs w:val="22"/>
          <w:highlight w:val="none"/>
          <w:lang w:val="en-GB" w:eastAsia="zh-CN"/>
        </w:rPr>
        <w:t xml:space="preserve">本合同应当按照规定执行政府采购政策。</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20.2 本合同依法执行政府采购政策的方式和内容，属于合同履约验收的范围。</w:t>
      </w:r>
      <w:r>
        <w:rPr>
          <w:rFonts w:hint="eastAsia" w:ascii="宋体" w:hAnsi="宋体" w:cs="宋体"/>
          <w:color w:val="auto"/>
          <w:sz w:val="21"/>
          <w:szCs w:val="22"/>
          <w:highlight w:val="none"/>
          <w:lang w:eastAsia="zh-CN"/>
        </w:rPr>
        <w:t xml:space="preserve">甲乙双方</w:t>
      </w:r>
      <w:r>
        <w:rPr>
          <w:rFonts w:hint="eastAsia" w:ascii="宋体" w:hAnsi="宋体" w:cs="宋体"/>
          <w:color w:val="auto"/>
          <w:sz w:val="21"/>
          <w:szCs w:val="22"/>
          <w:highlight w:val="none"/>
          <w:lang w:val="en-GB" w:eastAsia="zh-CN"/>
        </w:rPr>
        <w:t xml:space="preserve">未按规定要求执行政府采购政策造成损失的</w:t>
      </w:r>
      <w:r>
        <w:rPr>
          <w:rFonts w:hint="eastAsia" w:ascii="宋体" w:hAnsi="宋体" w:cs="宋体"/>
          <w:color w:val="auto"/>
          <w:sz w:val="21"/>
          <w:highlight w:val="none"/>
          <w:lang w:eastAsia="zh-CN"/>
        </w:rPr>
        <w:t xml:space="preserve">，有过错的一方应当承担赔偿责任，双方都有过错的，各自承担相应的责任。</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21. 法律适用</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21.1 本合同的订立、生效、解释、履行及与本合同有关的争议解决，均适用法律、行政法规。</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21.2 本合同条款与法律、行政法规的强制性规定不一致的，双方当事人应当按照法律、行政法规的强制性规定修改本合同的相关条款。</w:t>
      </w:r>
      <w:r/>
    </w:p>
    <w:p>
      <w:pPr>
        <w:numPr>
          <w:ilvl w:val="255"/>
          <w:numId w:val="0"/>
        </w:numPr>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22. 通知</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22.3本合同一方给另一方的通知均应采用书面形式，传真或快递送到本合同中规定的对方的地址和办理签收手续。</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22.4通知以送达之日或通知书中规定的生效之日起生效，两者中以较迟之日为准。</w:t>
      </w:r>
      <w:r/>
    </w:p>
    <w:p>
      <w:pPr>
        <w:numPr>
          <w:ilvl w:val="0"/>
          <w:numId w:val="7"/>
        </w:numPr>
        <w:jc w:val="both"/>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合同未尽事项</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23.1合同未尽事项见</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w:t>
      </w:r>
      <w:r/>
    </w:p>
    <w:p>
      <w:pPr>
        <w:ind w:firstLine="0"/>
        <w:spacing w:line="400" w:lineRule="exact"/>
        <w:widowControl w:val="off"/>
        <w:rPr>
          <w:rFonts w:ascii="宋体" w:hAnsi="宋体" w:cs="宋体"/>
          <w:color w:val="auto"/>
          <w:sz w:val="28"/>
          <w:szCs w:val="28"/>
          <w:highlight w:val="none"/>
          <w:lang w:eastAsia="zh-CN"/>
        </w:rPr>
      </w:pPr>
      <w:r>
        <w:rPr>
          <w:rFonts w:hint="eastAsia" w:ascii="宋体" w:hAnsi="宋体" w:cs="宋体"/>
          <w:bCs/>
          <w:color w:val="auto"/>
          <w:sz w:val="21"/>
          <w:highlight w:val="none"/>
          <w:lang w:eastAsia="zh-CN"/>
        </w:rPr>
        <w:t xml:space="preserve">    23.2 合同附件与合同正文具有同等的法律效力。</w:t>
      </w:r>
      <w:bookmarkStart w:id="19" w:name="_Toc20313"/>
      <w:r/>
      <w:r/>
    </w:p>
    <w:p>
      <w:pPr>
        <w:ind w:firstLine="0"/>
        <w:jc w:val="center"/>
        <w:spacing w:line="240" w:lineRule="auto"/>
        <w:widowControl w:val="off"/>
        <w:rPr>
          <w:rFonts w:ascii="黑体" w:hAnsi="华文中宋" w:eastAsia="黑体" w:cs="Times New Roman"/>
          <w:color w:val="auto"/>
          <w:sz w:val="28"/>
          <w:szCs w:val="28"/>
          <w:highlight w:val="none"/>
          <w:lang w:eastAsia="zh-CN"/>
        </w:rPr>
      </w:pPr>
      <w:r>
        <w:rPr>
          <w:rFonts w:hint="eastAsia" w:ascii="黑体" w:hAnsi="华文中宋" w:eastAsia="黑体" w:cs="Times New Roman"/>
          <w:color w:val="auto"/>
          <w:sz w:val="28"/>
          <w:szCs w:val="28"/>
          <w:highlight w:val="none"/>
          <w:lang w:eastAsia="zh-CN"/>
        </w:rPr>
        <w:br w:type="page" w:clear="all"/>
      </w:r>
      <w:r/>
    </w:p>
    <w:p>
      <w:pPr>
        <w:ind w:firstLine="0"/>
        <w:jc w:val="center"/>
        <w:keepLines/>
        <w:keepNext/>
        <w:spacing w:before="360" w:after="200" w:line="240" w:lineRule="auto"/>
        <w:widowControl w:val="off"/>
        <w:rPr>
          <w:rFonts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t xml:space="preserve">第三节 政府采购合同专用条款</w:t>
      </w:r>
      <w:bookmarkEnd w:id="19"/>
      <w:r/>
      <w:r/>
    </w:p>
    <w:tbl>
      <w:tblPr>
        <w:tblStyle w:val="910"/>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第1.2（6）项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联合体具体要求</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rPr>
              <w:t xml:space="preserve">/</w:t>
            </w:r>
            <w:r/>
          </w:p>
        </w:tc>
      </w:tr>
      <w:tr>
        <w:trPr>
          <w:trHeight w:val="607"/>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第1.2（7）项</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其他术语解释</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第4.4款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履约验收中甲方提出异议或作出说明的期限</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rPr>
              <w:t xml:space="preserve">5个工作日</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第4.6款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约定甲方承担的其他义务和责任</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第5.4款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约定乙方承担的其他义务和责任</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第6.1款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履行合同义务的顺序</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rPr>
              <w:t xml:space="preserve">/</w:t>
            </w:r>
            <w:r/>
          </w:p>
        </w:tc>
      </w:tr>
      <w:tr>
        <w:trPr>
          <w:trHeight w:val="670"/>
        </w:trPr>
        <w:tc>
          <w:tcPr>
            <w:tcW w:w="1799" w:type="dxa"/>
            <w:vAlign w:val="center"/>
            <w:vMerge w:val="restart"/>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包装特殊要求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乙方应对任何由于不当包装或防护措施不力而导致的商品损坏、损失、锈蚀、费用增长等后果负责。</w:t>
            </w:r>
            <w:r/>
          </w:p>
        </w:tc>
      </w:tr>
      <w:tr>
        <w:trPr>
          <w:trHeight w:val="670"/>
        </w:trPr>
        <w:tc>
          <w:tcPr>
            <w:tcW w:w="1799" w:type="dxa"/>
            <w:vAlign w:val="center"/>
            <w:vMerge w:val="continue"/>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指定现场</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ascii="Calibri" w:hAnsi="Calibri" w:cs="Calibri"/>
                <w:color w:val="auto"/>
                <w:sz w:val="21"/>
                <w:highlight w:val="none"/>
              </w:rPr>
              <w:t xml:space="preserve">甲方指定现场</w:t>
            </w:r>
            <w:r/>
          </w:p>
        </w:tc>
      </w:tr>
      <w:tr>
        <w:trPr>
          <w:trHeight w:val="775"/>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运输特殊要求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由乙方负责办理运输并承担所有费用，直接送到甲方指定地点，并实施安装调试。</w:t>
            </w:r>
            <w:r/>
          </w:p>
        </w:tc>
      </w:tr>
      <w:tr>
        <w:trPr>
          <w:trHeight w:val="67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第7.3款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保险要求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第8.2（1）项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质量保证期</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lang w:val="zh-CN" w:eastAsia="zh-CN"/>
              </w:rPr>
              <w:t xml:space="preserve">自项目验收合格之日提供</w:t>
            </w:r>
            <w:r>
              <w:rPr>
                <w:rFonts w:ascii="宋体" w:hAnsi="宋体" w:cs="宋体"/>
                <w:color w:val="auto"/>
                <w:sz w:val="21"/>
                <w:highlight w:val="none"/>
                <w:u w:val="single"/>
                <w:lang w:eastAsia="zh-CN"/>
              </w:rPr>
              <w:t xml:space="preserve">   </w:t>
            </w:r>
            <w:r>
              <w:rPr>
                <w:rFonts w:hint="eastAsia" w:ascii="宋体" w:hAnsi="宋体" w:cs="宋体"/>
                <w:color w:val="auto"/>
                <w:sz w:val="21"/>
                <w:highlight w:val="none"/>
                <w:lang w:val="zh-CN" w:eastAsia="zh-CN"/>
              </w:rPr>
              <w:t xml:space="preserve">年项目整体质保期</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第8.2（3）项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货物质量缺陷</w:t>
            </w:r>
            <w:r/>
          </w:p>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响应时间</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lang w:val="zh-CN" w:eastAsia="zh-CN"/>
              </w:rPr>
              <w:t xml:space="preserve">中标供应商应在</w:t>
            </w: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lang w:val="zh-CN" w:eastAsia="zh-CN"/>
              </w:rPr>
              <w:t xml:space="preserve">小时内对用户的服务要求做出响应，一般问题在</w:t>
            </w: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lang w:val="zh-CN" w:eastAsia="zh-CN"/>
              </w:rPr>
              <w:t xml:space="preserve">小时内解决，重大问题或其他无法立刻解决的问题应在一周内解决或提出明确的解决方案，否则中标供应商应赔偿相应的损失。</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第二节</w:t>
            </w:r>
            <w:r/>
          </w:p>
          <w:p>
            <w:pPr>
              <w:ind w:firstLine="0"/>
              <w:jc w:val="center"/>
              <w:spacing w:line="400" w:lineRule="exact"/>
              <w:rPr>
                <w:rFonts w:ascii="华文楷体" w:hAnsi="华文楷体" w:eastAsia="华文楷体" w:cs="华文楷体"/>
                <w:color w:val="auto"/>
                <w:sz w:val="22"/>
                <w:highlight w:val="none"/>
                <w:lang w:eastAsia="zh-CN"/>
              </w:rPr>
            </w:pPr>
            <w:r>
              <w:rPr>
                <w:rFonts w:hint="eastAsia" w:ascii="宋体" w:hAnsi="宋体" w:cs="宋体"/>
                <w:color w:val="auto"/>
                <w:sz w:val="22"/>
                <w:highlight w:val="none"/>
                <w:lang w:eastAsia="zh-CN"/>
              </w:rPr>
              <w:t xml:space="preserve">第11.1款</w:t>
            </w:r>
            <w:r/>
          </w:p>
        </w:tc>
        <w:tc>
          <w:tcPr>
            <w:tcW w:w="1950"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其他应当保密的信息</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Calibri" w:hAnsi="Calibri" w:cs="Calibri"/>
                <w:color w:val="auto"/>
                <w:sz w:val="21"/>
                <w:highlight w:val="none"/>
                <w:lang w:eastAsia="zh-CN"/>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tc>
      </w:tr>
      <w:tr>
        <w:trPr>
          <w:trHeight w:val="70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合同价款支付时间</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Calibri" w:hAnsi="Calibri" w:cs="Calibri"/>
                <w:color w:val="auto"/>
                <w:sz w:val="21"/>
                <w:highlight w:val="none"/>
              </w:rPr>
              <w:t xml:space="preserve">详见合同协议书</w:t>
            </w:r>
            <w:r/>
          </w:p>
        </w:tc>
      </w:tr>
      <w:tr>
        <w:trPr>
          <w:trHeight w:val="70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履约保证金不予退还的情形</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Calibri" w:hAnsi="Calibri" w:cs="Calibri"/>
                <w:color w:val="auto"/>
                <w:sz w:val="21"/>
                <w:highlight w:val="none"/>
              </w:rPr>
              <w:t xml:space="preserve">详见合同协议书</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第13.3款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履约保证金退还时间及逾期退还的违约金</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Calibri" w:hAnsi="Calibri" w:cs="Calibri"/>
                <w:color w:val="auto"/>
                <w:sz w:val="21"/>
                <w:highlight w:val="none"/>
              </w:rPr>
              <w:t xml:space="preserve">详见合同协议书</w:t>
            </w:r>
            <w:r/>
          </w:p>
        </w:tc>
      </w:tr>
      <w:tr>
        <w:trPr>
          <w:trHeight w:val="788"/>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第14.1（3）项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运行监督、维修期限</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lang w:eastAsia="zh-CN"/>
              </w:rPr>
              <w:t xml:space="preserve"> </w:t>
            </w:r>
            <w:r/>
          </w:p>
        </w:tc>
      </w:tr>
      <w:tr>
        <w:trPr>
          <w:trHeight w:val="788"/>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第14.1（5）项</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货物回收的约定</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第14.1（6）项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乙方提供的其他服务</w:t>
            </w:r>
            <w:r/>
          </w:p>
        </w:tc>
        <w:tc>
          <w:tcPr>
            <w:tcW w:w="5788" w:type="dxa"/>
            <w:vAlign w:val="center"/>
            <w:textDirection w:val="lrTb"/>
            <w:noWrap w:val="false"/>
          </w:tcPr>
          <w:p>
            <w:pPr>
              <w:ind w:firstLine="0"/>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修理、重做、更换相关具体规定</w:t>
            </w:r>
            <w:r/>
          </w:p>
        </w:tc>
        <w:tc>
          <w:tcPr>
            <w:tcW w:w="5788" w:type="dxa"/>
            <w:vAlign w:val="center"/>
            <w:textDirection w:val="lrTb"/>
            <w:noWrap w:val="false"/>
          </w:tcPr>
          <w:p>
            <w:pPr>
              <w:ind w:firstLine="0"/>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第15.2（2）项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迟延交货赔偿费</w:t>
            </w:r>
            <w:r/>
          </w:p>
        </w:tc>
        <w:tc>
          <w:tcPr>
            <w:tcW w:w="5788" w:type="dxa"/>
            <w:vAlign w:val="center"/>
            <w:textDirection w:val="lrTb"/>
            <w:noWrap w:val="false"/>
          </w:tcPr>
          <w:p>
            <w:pPr>
              <w:ind w:firstLine="0"/>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除不可抗力外，每逾期一日，乙方应按照逾期交货金额的万分之五的标准累计计算向甲方支付违约金。逾期超过20个工作日的，甲方有权解除合同，甲方如已支付费用的，乙方全部返还。</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第15.3款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逾期付款利息</w:t>
            </w:r>
            <w:r/>
          </w:p>
        </w:tc>
        <w:tc>
          <w:tcPr>
            <w:tcW w:w="5788" w:type="dxa"/>
            <w:vAlign w:val="center"/>
            <w:textDirection w:val="lrTb"/>
            <w:noWrap w:val="false"/>
          </w:tcPr>
          <w:p>
            <w:pPr>
              <w:ind w:firstLine="0"/>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甲方无正当理由逾期付款时，每逾期一日，甲方应按照逾期付款金额的万分之五的标准累计计算向乙方支付违约金。</w:t>
            </w:r>
            <w:r/>
          </w:p>
        </w:tc>
      </w:tr>
      <w:tr>
        <w:trPr>
          <w:trHeight w:val="880"/>
        </w:trPr>
        <w:tc>
          <w:tcPr>
            <w:tcBorders>
              <w:bottom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第15.4款</w:t>
            </w:r>
            <w:r/>
          </w:p>
        </w:tc>
        <w:tc>
          <w:tcPr>
            <w:tcBorders>
              <w:left w:val="single" w:color="auto" w:sz="2" w:space="0"/>
              <w:bottom w:val="single" w:color="auto" w:sz="2" w:space="0"/>
              <w:right w:val="single" w:color="auto" w:sz="2" w:space="0"/>
            </w:tcBorders>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其他违约责任</w:t>
            </w:r>
            <w:r/>
          </w:p>
        </w:tc>
        <w:tc>
          <w:tcPr>
            <w:tcBorders>
              <w:left w:val="single" w:color="auto" w:sz="2" w:space="0"/>
              <w:bottom w:val="single" w:color="auto" w:sz="2" w:space="0"/>
            </w:tcBorders>
            <w:tcW w:w="5788" w:type="dxa"/>
            <w:vAlign w:val="center"/>
            <w:textDirection w:val="lrTb"/>
            <w:noWrap w:val="false"/>
          </w:tcPr>
          <w:p>
            <w:pPr>
              <w:ind w:firstLine="0"/>
              <w:spacing w:line="240" w:lineRule="auto"/>
              <w:widowControl w:val="off"/>
              <w:rPr>
                <w:rFonts w:ascii="宋体" w:hAnsi="宋体" w:cs="宋体"/>
                <w:color w:val="auto"/>
                <w:sz w:val="21"/>
                <w:highlight w:val="none"/>
                <w:u w:val="single"/>
                <w:lang w:eastAsia="zh-CN"/>
              </w:rPr>
            </w:pPr>
            <w:r>
              <w:rPr>
                <w:rFonts w:ascii="宋体" w:hAnsi="宋体" w:cs="宋体"/>
                <w:color w:val="auto"/>
                <w:sz w:val="21"/>
                <w:highlight w:val="none"/>
                <w:u w:val="single"/>
                <w:lang w:eastAsia="zh-CN"/>
              </w:rPr>
            </w:r>
            <w:r/>
          </w:p>
        </w:tc>
      </w:tr>
      <w:tr>
        <w:trPr>
          <w:trHeight w:val="90"/>
        </w:trPr>
        <w:tc>
          <w:tcPr>
            <w:tcBorders>
              <w:top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第19.2款</w:t>
            </w:r>
            <w:r/>
          </w:p>
        </w:tc>
        <w:tc>
          <w:tcPr>
            <w:tcBorders>
              <w:top w:val="single" w:color="auto" w:sz="2" w:space="0"/>
              <w:left w:val="single" w:color="auto" w:sz="2" w:space="0"/>
              <w:right w:val="single" w:color="auto" w:sz="2" w:space="0"/>
            </w:tcBorders>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解决争议的方法</w:t>
            </w:r>
            <w:r/>
          </w:p>
        </w:tc>
        <w:tc>
          <w:tcPr>
            <w:tcBorders>
              <w:top w:val="single" w:color="auto" w:sz="2" w:space="0"/>
              <w:left w:val="single" w:color="auto" w:sz="2" w:space="0"/>
            </w:tcBorders>
            <w:tcW w:w="5788" w:type="dxa"/>
            <w:vAlign w:val="center"/>
            <w:textDirection w:val="lrTb"/>
            <w:noWrap w:val="false"/>
          </w:tcPr>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因本合同及合同有关事项发生的争议，按下列第</w:t>
            </w:r>
            <w:r>
              <w:rPr>
                <w:rFonts w:hint="eastAsia" w:ascii="宋体" w:hAnsi="宋体" w:cs="宋体"/>
                <w:iCs/>
                <w:color w:val="auto"/>
                <w:sz w:val="21"/>
                <w:highlight w:val="none"/>
                <w:u w:val="single"/>
                <w:lang w:eastAsia="zh-CN"/>
              </w:rPr>
              <w:t xml:space="preserve"> （2） </w:t>
            </w:r>
            <w:r>
              <w:rPr>
                <w:rFonts w:hint="eastAsia" w:ascii="宋体" w:hAnsi="宋体" w:cs="宋体"/>
                <w:iCs/>
                <w:color w:val="auto"/>
                <w:sz w:val="21"/>
                <w:highlight w:val="none"/>
                <w:lang w:eastAsia="zh-CN"/>
              </w:rPr>
              <w:t xml:space="preserve">种方式解决：</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（1）向</w:t>
            </w:r>
            <w:r>
              <w:rPr>
                <w:rFonts w:hint="eastAsia" w:ascii="宋体" w:hAnsi="宋体" w:cs="宋体"/>
                <w:iCs/>
                <w:color w:val="auto"/>
                <w:sz w:val="21"/>
                <w:highlight w:val="none"/>
                <w:u w:val="single"/>
                <w:lang w:eastAsia="zh-CN"/>
              </w:rPr>
              <w:t xml:space="preserve">无锡</w:t>
            </w:r>
            <w:r>
              <w:rPr>
                <w:rFonts w:hint="eastAsia" w:ascii="宋体" w:hAnsi="宋体" w:cs="宋体"/>
                <w:iCs/>
                <w:color w:val="auto"/>
                <w:sz w:val="21"/>
                <w:highlight w:val="none"/>
                <w:lang w:eastAsia="zh-CN"/>
              </w:rPr>
              <w:t xml:space="preserve">仲裁委员会申请仲裁，仲裁地点为</w:t>
            </w:r>
            <w:r>
              <w:rPr>
                <w:rFonts w:hint="eastAsia" w:ascii="宋体" w:hAnsi="宋体" w:cs="宋体"/>
                <w:iCs/>
                <w:color w:val="auto"/>
                <w:sz w:val="21"/>
                <w:highlight w:val="none"/>
                <w:u w:val="single"/>
                <w:lang w:eastAsia="zh-CN"/>
              </w:rPr>
              <w:t xml:space="preserve">        </w:t>
            </w:r>
            <w:r>
              <w:rPr>
                <w:rFonts w:hint="eastAsia" w:ascii="宋体" w:hAnsi="宋体" w:cs="宋体"/>
                <w:iCs/>
                <w:color w:val="auto"/>
                <w:sz w:val="21"/>
                <w:highlight w:val="none"/>
                <w:lang w:eastAsia="zh-CN"/>
              </w:rPr>
              <w:t xml:space="preserve">；</w:t>
            </w:r>
            <w:r/>
          </w:p>
          <w:p>
            <w:pPr>
              <w:ind w:firstLine="0"/>
              <w:spacing w:line="240" w:lineRule="auto"/>
              <w:widowControl w:val="off"/>
              <w:rPr>
                <w:rFonts w:ascii="宋体" w:hAnsi="宋体" w:eastAsia="等线" w:cs="Times New Roman"/>
                <w:color w:val="auto"/>
                <w:sz w:val="21"/>
                <w:highlight w:val="none"/>
                <w:u w:val="single"/>
                <w:lang w:eastAsia="zh-CN"/>
              </w:rPr>
            </w:pPr>
            <w:r>
              <w:rPr>
                <w:rFonts w:hint="eastAsia" w:ascii="宋体" w:hAnsi="宋体" w:cs="宋体"/>
                <w:iCs/>
                <w:color w:val="auto"/>
                <w:sz w:val="21"/>
                <w:highlight w:val="none"/>
                <w:lang w:eastAsia="zh-CN"/>
              </w:rPr>
              <w:t xml:space="preserve">（2）向</w:t>
            </w:r>
            <w:r>
              <w:rPr>
                <w:rFonts w:hint="eastAsia" w:ascii="宋体" w:hAnsi="宋体" w:cs="宋体"/>
                <w:iCs/>
                <w:color w:val="auto"/>
                <w:sz w:val="21"/>
                <w:highlight w:val="none"/>
                <w:u w:val="single"/>
                <w:lang w:eastAsia="zh-CN"/>
              </w:rPr>
              <w:t xml:space="preserve"> 甲方所在地 </w:t>
            </w:r>
            <w:r>
              <w:rPr>
                <w:rFonts w:hint="eastAsia" w:ascii="宋体" w:hAnsi="宋体" w:cs="宋体"/>
                <w:iCs/>
                <w:color w:val="auto"/>
                <w:sz w:val="21"/>
                <w:highlight w:val="none"/>
                <w:lang w:eastAsia="zh-CN"/>
              </w:rPr>
              <w:t xml:space="preserve">人民法院起诉。</w:t>
            </w:r>
            <w:r/>
          </w:p>
        </w:tc>
      </w:tr>
      <w:tr>
        <w:trPr>
          <w:trHeight w:val="773"/>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第23.1款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bCs/>
                <w:color w:val="auto"/>
                <w:sz w:val="21"/>
                <w:highlight w:val="none"/>
                <w:lang w:eastAsia="zh-CN"/>
              </w:rPr>
              <w:t xml:space="preserve">其他专用条款</w:t>
            </w:r>
            <w:r/>
          </w:p>
        </w:tc>
        <w:tc>
          <w:tcPr>
            <w:tcW w:w="5788" w:type="dxa"/>
            <w:vAlign w:val="center"/>
            <w:textDirection w:val="lrTb"/>
            <w:noWrap w:val="false"/>
          </w:tcPr>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1.交货条件：</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（1）交货日期（或完工期）：         。</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（2）甲方在验收时应先用信函、传真、电子邮件等书面方式通知乙方。</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3）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（4）货物交货时，所有货物必须带有货物质量检验合格证书、中文质保单、装箱单、中文货物安装使用说明书等。其他附件所有部件必须原包装。                    </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2.安装调试及售后服务：</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（1）乙方负责本项目的安装和调试，并保证其提供的货物符合国家、行业、地方、招投标文件及合同规定的质量、性能和标准，并正确且安全地安装。</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（2）乙方提供的服务全部按照国家有关法律法规规章和“三包”规定以及按招标文件要求和乙方投标文件中的承诺执行。</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（3）质保期后的货物维护由双方协商再定。</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（4）甲方应向乙方现场调试的技术人员及维修人员提供乙方便条件，有关费用由乙方负责。</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（5）甲方如要求乙方提供招标文件及乙方投标文件以外的其他服务，其费用另定。</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3.合同在执行过程中出现的未尽事宜，双方在不违背本合同和招标文件的原则下协商解决，协商结果以书面形式签订补充协议，且补充协议与本合同具有同等效力。</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4.甲乙双方确认：对本合同条款及后果均已知悉，一致确认不存在欺诈、胁迫、乘人之危、重大误解、显失公平等任何可能导致合同无效或被撤销的情形。</w:t>
            </w:r>
            <w:r/>
          </w:p>
        </w:tc>
      </w:tr>
    </w:tbl>
    <w:p>
      <w:pPr>
        <w:ind w:firstLine="480"/>
        <w:rPr>
          <w:color w:val="auto"/>
          <w:highlight w:val="none"/>
          <w:lang w:eastAsia="zh-CN"/>
        </w:rPr>
      </w:pPr>
      <w:r/>
      <w:bookmarkStart w:id="20" w:name="_Toc161316668"/>
      <w:r>
        <w:rPr>
          <w:rFonts w:hint="eastAsia"/>
          <w:color w:val="auto"/>
          <w:highlight w:val="none"/>
          <w:lang w:eastAsia="zh-CN"/>
        </w:rPr>
        <w:br w:type="page" w:clear="all"/>
      </w:r>
      <w:r/>
    </w:p>
    <w:p>
      <w:pPr>
        <w:pStyle w:val="905"/>
        <w:rPr>
          <w:color w:val="auto"/>
          <w:highlight w:val="none"/>
          <w:lang w:eastAsia="zh-CN"/>
        </w:rPr>
      </w:pPr>
      <w:r>
        <w:rPr>
          <w:rFonts w:hint="eastAsia"/>
          <w:color w:val="auto"/>
          <w:highlight w:val="none"/>
          <w:lang w:eastAsia="zh-CN"/>
        </w:rPr>
        <w:t xml:space="preserve">五、附件</w:t>
      </w:r>
      <w:bookmarkEnd w:id="20"/>
      <w:r/>
      <w:r/>
    </w:p>
    <w:p>
      <w:pPr>
        <w:pStyle w:val="906"/>
        <w:rPr>
          <w:rFonts w:ascii="宋体" w:hAnsi="宋体" w:cs="宋体"/>
          <w:color w:val="auto"/>
          <w:szCs w:val="24"/>
          <w:highlight w:val="none"/>
          <w:lang w:eastAsia="zh-CN"/>
        </w:rPr>
      </w:pPr>
      <w:r/>
      <w:bookmarkStart w:id="21" w:name="_Toc161316669"/>
      <w:r/>
      <w:bookmarkStart w:id="22" w:name="_Toc101981934"/>
      <w:r>
        <w:rPr>
          <w:rFonts w:hint="eastAsia"/>
          <w:color w:val="auto"/>
          <w:highlight w:val="none"/>
          <w:lang w:eastAsia="zh-CN"/>
        </w:rPr>
        <w:t xml:space="preserve">附件一：评分标准</w:t>
      </w:r>
      <w:bookmarkEnd w:id="21"/>
      <w:r/>
      <w:bookmarkEnd w:id="22"/>
      <w:r/>
      <w:r/>
    </w:p>
    <w:p>
      <w:pPr>
        <w:ind w:firstLine="480"/>
        <w:spacing w:line="440" w:lineRule="exact"/>
        <w:widowControl w:val="off"/>
        <w:rPr>
          <w:rFonts w:ascii="宋体" w:hAnsi="宋体" w:cs="宋体"/>
          <w:b/>
          <w:color w:val="auto"/>
          <w:highlight w:val="none"/>
          <w:lang w:eastAsia="zh-CN"/>
        </w:rPr>
      </w:pPr>
      <w:r/>
      <w:bookmarkStart w:id="23" w:name="_Toc37956127"/>
      <w:r/>
      <w:bookmarkStart w:id="24" w:name="_Toc37956245"/>
      <w:r>
        <w:rPr>
          <w:rFonts w:hint="eastAsia" w:ascii="宋体" w:hAnsi="宋体" w:cs="宋体"/>
          <w:bCs/>
          <w:color w:val="auto"/>
          <w:highlight w:val="none"/>
          <w:lang w:eastAsia="zh-CN"/>
        </w:rPr>
        <w:t xml:space="preserve">比较与评价采用综合评分法（计分均保留2位小数），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为排名第一的中标候选人，得分次高的投标供应商为排名第二的中标候选人，得分排列第三的投标供应商为排名第三的中标候选人。未列入本评分标准的其他条件不作为评分内容。</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具体评分标准如下：</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1.价格分           30分</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2.商务分            8分</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3.技术分           62分</w:t>
      </w:r>
      <w:r/>
    </w:p>
    <w:p>
      <w:pPr>
        <w:ind w:firstLine="0"/>
        <w:spacing w:line="440" w:lineRule="exact"/>
        <w:widowControl w:val="off"/>
        <w:rPr>
          <w:rFonts w:ascii="宋体" w:hAnsi="宋体" w:cs="宋体"/>
          <w:b/>
          <w:bCs/>
          <w:color w:val="auto"/>
          <w:highlight w:val="none"/>
          <w:lang w:eastAsia="zh-CN"/>
        </w:rPr>
      </w:pPr>
      <w:r>
        <w:rPr>
          <w:rFonts w:hint="eastAsia" w:ascii="宋体" w:hAnsi="宋体" w:cs="宋体"/>
          <w:b/>
          <w:bCs/>
          <w:color w:val="auto"/>
          <w:highlight w:val="none"/>
          <w:lang w:eastAsia="zh-CN"/>
        </w:rPr>
        <w:t xml:space="preserve">（一）价格分（30分）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采用低价优先法计算，即满足招标文件要求且投标价格最低的投标报价为评标基准价，其价格分为满分。其他投标供应商的价格分统一按照下列公式计算：</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投标报价得分=（投标基准价／投标报价）×价格权值×100</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价格扣除：专门面向中小/小微企业的项目除外。</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同一投标供应商，上述三项价格扣除优惠不得重复享受。</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促进本国产品优惠政策：依法对本国产品给予价格评审优惠，对本国产品的报价给予</w:t>
      </w:r>
      <w:r>
        <w:rPr>
          <w:rFonts w:ascii="宋体" w:hAnsi="宋体" w:cs="宋体"/>
          <w:color w:val="auto"/>
          <w:highlight w:val="none"/>
          <w:lang w:eastAsia="zh-CN"/>
        </w:rPr>
        <w:t xml:space="preserve">20%</w:t>
      </w:r>
      <w:r>
        <w:rPr>
          <w:rFonts w:hint="eastAsia" w:ascii="宋体" w:hAnsi="宋体" w:cs="宋体"/>
          <w:color w:val="auto"/>
          <w:highlight w:val="none"/>
          <w:lang w:eastAsia="zh-CN"/>
        </w:rPr>
        <w:t xml:space="preserve">的价格扣除，用扣除后的价格参与评审。</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宋体"/>
          <w:color w:val="auto"/>
          <w:highlight w:val="none"/>
          <w:lang w:eastAsia="zh-CN"/>
        </w:rPr>
        <w:t xml:space="preserve">80%</w:t>
      </w:r>
      <w:r>
        <w:rPr>
          <w:rFonts w:hint="eastAsia" w:ascii="宋体" w:hAnsi="宋体" w:cs="宋体"/>
          <w:color w:val="auto"/>
          <w:highlight w:val="none"/>
          <w:lang w:eastAsia="zh-CN"/>
        </w:rPr>
        <w:t xml:space="preserve">以上时，依法对该供应商提供的全部产品给予价格评审优惠，即对该供应商提供的全部产品的总报价给予</w:t>
      </w:r>
      <w:r>
        <w:rPr>
          <w:rFonts w:ascii="宋体" w:hAnsi="宋体" w:cs="宋体"/>
          <w:color w:val="auto"/>
          <w:highlight w:val="none"/>
          <w:lang w:eastAsia="zh-CN"/>
        </w:rPr>
        <w:t xml:space="preserve">20%</w:t>
      </w:r>
      <w:r>
        <w:rPr>
          <w:rFonts w:hint="eastAsia" w:ascii="宋体" w:hAnsi="宋体" w:cs="宋体"/>
          <w:color w:val="auto"/>
          <w:highlight w:val="none"/>
          <w:lang w:eastAsia="zh-CN"/>
        </w:rPr>
        <w:t xml:space="preserve">的价格扣除，用扣除后的价格参与评审。</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具体以《国务院办公厅关于在政府采购中实施本国产品标准及相关政策的通知》（国办发〔</w:t>
      </w:r>
      <w:r>
        <w:rPr>
          <w:rFonts w:ascii="宋体" w:hAnsi="宋体" w:cs="宋体"/>
          <w:color w:val="auto"/>
          <w:highlight w:val="none"/>
          <w:lang w:eastAsia="zh-CN"/>
        </w:rPr>
        <w:t xml:space="preserve">2025</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34</w:t>
      </w:r>
      <w:r>
        <w:rPr>
          <w:rFonts w:hint="eastAsia" w:ascii="宋体" w:hAnsi="宋体" w:cs="宋体"/>
          <w:color w:val="auto"/>
          <w:highlight w:val="none"/>
          <w:lang w:eastAsia="zh-CN"/>
        </w:rPr>
        <w:t xml:space="preserve">号）规定为准。</w:t>
      </w:r>
      <w:r/>
    </w:p>
    <w:p>
      <w:pPr>
        <w:ind w:firstLine="482"/>
        <w:spacing w:line="440" w:lineRule="exact"/>
        <w:widowControl w:val="off"/>
        <w:rPr>
          <w:rFonts w:ascii="宋体" w:hAnsi="宋体" w:cs="宋体"/>
          <w:color w:val="auto"/>
          <w:highlight w:val="none"/>
          <w:lang w:eastAsia="zh-CN"/>
        </w:rPr>
      </w:pPr>
      <w:r>
        <w:rPr>
          <w:rFonts w:hint="eastAsia" w:ascii="宋体" w:hAnsi="宋体" w:cs="宋体"/>
          <w:b/>
          <w:bCs/>
          <w:color w:val="auto"/>
          <w:highlight w:val="none"/>
          <w:lang w:eastAsia="zh-CN"/>
        </w:rPr>
        <w:t xml:space="preserve">异常低价投标（响应）审查：</w:t>
      </w:r>
      <w:r>
        <w:rPr>
          <w:rFonts w:hint="eastAsia" w:ascii="宋体" w:hAnsi="宋体" w:cs="宋体"/>
          <w:color w:val="auto"/>
          <w:highlight w:val="none"/>
          <w:lang w:eastAsia="zh-CN"/>
        </w:rPr>
        <w:t xml:space="preserve">评标委员会根据《财政部关于推动解决政府采购异常低价问题的通知》（</w:t>
      </w:r>
      <w:bookmarkStart w:id="25" w:name="OLE_LINK4"/>
      <w:r/>
      <w:bookmarkStart w:id="26" w:name="OLE_LINK3"/>
      <w:r>
        <w:rPr>
          <w:rFonts w:hint="eastAsia" w:ascii="宋体" w:hAnsi="宋体" w:cs="宋体"/>
          <w:color w:val="auto"/>
          <w:highlight w:val="none"/>
          <w:lang w:eastAsia="zh-CN"/>
        </w:rPr>
        <w:t xml:space="preserve">财库〔2026〕2号</w:t>
      </w:r>
      <w:bookmarkEnd w:id="25"/>
      <w:r/>
      <w:bookmarkEnd w:id="26"/>
      <w:r>
        <w:rPr>
          <w:rFonts w:hint="eastAsia" w:ascii="宋体" w:hAnsi="宋体" w:cs="宋体"/>
          <w:color w:val="auto"/>
          <w:highlight w:val="none"/>
          <w:lang w:eastAsia="zh-CN"/>
        </w:rPr>
        <w:t xml:space="preserve">）</w:t>
      </w:r>
      <w:r>
        <w:rPr>
          <w:rFonts w:hint="eastAsia" w:ascii="宋体" w:hAnsi="宋体" w:cs="宋体"/>
          <w:b/>
          <w:bCs/>
          <w:color w:val="auto"/>
          <w:highlight w:val="none"/>
          <w:lang w:eastAsia="zh-CN"/>
        </w:rPr>
        <w:t xml:space="preserve">（详见公开招标文件第二部分（八）无效投标文件的确认第2</w:t>
      </w:r>
      <w:r>
        <w:rPr>
          <w:rFonts w:ascii="宋体" w:hAnsi="宋体" w:cs="宋体"/>
          <w:b/>
          <w:bCs/>
          <w:color w:val="auto"/>
          <w:highlight w:val="none"/>
          <w:lang w:eastAsia="zh-CN"/>
        </w:rPr>
        <w:t xml:space="preserve">6</w:t>
      </w:r>
      <w:r>
        <w:rPr>
          <w:rFonts w:hint="eastAsia" w:ascii="宋体" w:hAnsi="宋体" w:cs="宋体"/>
          <w:b/>
          <w:bCs/>
          <w:color w:val="auto"/>
          <w:highlight w:val="none"/>
          <w:lang w:eastAsia="zh-CN"/>
        </w:rPr>
        <w:t xml:space="preserve">条规定）</w:t>
      </w:r>
      <w:r>
        <w:rPr>
          <w:rFonts w:hint="eastAsia" w:ascii="宋体" w:hAnsi="宋体" w:cs="宋体"/>
          <w:color w:val="auto"/>
          <w:highlight w:val="none"/>
          <w:lang w:eastAsia="zh-CN"/>
        </w:rPr>
        <w:t xml:space="preserve">要求进行审查。投标供应商不提供书面说明、证明材料，或者提供的书面说明、证明材料不能证明其报价合理性的，评标委员会应当将其作为无效投标（响应）处理。</w:t>
      </w:r>
      <w:r/>
    </w:p>
    <w:p>
      <w:pPr>
        <w:ind w:firstLine="0"/>
        <w:spacing w:line="440" w:lineRule="exact"/>
        <w:widowControl w:val="off"/>
        <w:rPr>
          <w:rFonts w:ascii="宋体" w:hAnsi="宋体" w:cs="宋体"/>
          <w:b/>
          <w:bCs/>
          <w:color w:val="auto"/>
          <w:highlight w:val="none"/>
          <w:lang w:eastAsia="zh-CN"/>
        </w:rPr>
      </w:pPr>
      <w:r>
        <w:rPr>
          <w:rFonts w:hint="eastAsia" w:ascii="宋体" w:hAnsi="宋体" w:cs="宋体"/>
          <w:b/>
          <w:bCs/>
          <w:color w:val="auto"/>
          <w:highlight w:val="none"/>
          <w:lang w:eastAsia="zh-CN"/>
        </w:rPr>
        <w:t xml:space="preserve">（二）商务分（8分）</w:t>
      </w:r>
      <w:r/>
    </w:p>
    <w:p>
      <w:pPr>
        <w:ind w:firstLine="482"/>
        <w:spacing w:line="440" w:lineRule="exact"/>
        <w:widowControl w:val="off"/>
        <w:rPr>
          <w:rFonts w:ascii="宋体" w:hAnsi="宋体" w:cs="宋体"/>
          <w:b/>
          <w:color w:val="auto"/>
          <w:highlight w:val="none"/>
          <w:lang w:eastAsia="zh-CN"/>
        </w:rPr>
      </w:pPr>
      <w:r>
        <w:rPr>
          <w:rFonts w:ascii="宋体" w:hAnsi="宋体" w:cs="宋体"/>
          <w:b/>
          <w:color w:val="auto"/>
          <w:highlight w:val="none"/>
          <w:lang w:eastAsia="zh-CN"/>
        </w:rPr>
        <w:t xml:space="preserve">1.</w:t>
      </w:r>
      <w:r>
        <w:rPr>
          <w:rFonts w:hint="eastAsia" w:ascii="宋体" w:hAnsi="宋体" w:cs="宋体"/>
          <w:b/>
          <w:color w:val="auto"/>
          <w:highlight w:val="none"/>
          <w:lang w:eastAsia="zh-CN"/>
        </w:rPr>
        <w:t xml:space="preserve">供应商综合实力</w:t>
      </w:r>
      <w:r>
        <w:rPr>
          <w:rFonts w:ascii="宋体" w:hAnsi="宋体" w:cs="宋体"/>
          <w:b/>
          <w:color w:val="auto"/>
          <w:highlight w:val="none"/>
          <w:lang w:eastAsia="zh-CN"/>
        </w:rPr>
        <w:t xml:space="preserve">（</w:t>
      </w:r>
      <w:r>
        <w:rPr>
          <w:rFonts w:hint="eastAsia" w:ascii="宋体" w:hAnsi="宋体" w:cs="宋体"/>
          <w:b/>
          <w:color w:val="auto"/>
          <w:highlight w:val="none"/>
          <w:lang w:eastAsia="zh-CN"/>
        </w:rPr>
        <w:t xml:space="preserve">3分）：</w:t>
      </w:r>
      <w:r/>
    </w:p>
    <w:p>
      <w:pPr>
        <w:ind w:firstLine="480"/>
        <w:spacing w:line="440" w:lineRule="exact"/>
        <w:widowControl w:val="off"/>
        <w:rPr>
          <w:rFonts w:ascii="宋体" w:hAnsi="宋体" w:cs="宋体"/>
          <w:b/>
          <w:color w:val="auto"/>
          <w:highlight w:val="none"/>
          <w:lang w:eastAsia="zh-CN"/>
        </w:rPr>
      </w:pPr>
      <w:r>
        <w:rPr>
          <w:rFonts w:hint="eastAsia" w:ascii="宋体" w:hAnsi="宋体" w:cs="宋体"/>
          <w:bCs/>
          <w:color w:val="auto"/>
          <w:highlight w:val="none"/>
          <w:lang w:eastAsia="zh-CN"/>
        </w:rPr>
        <w:t xml:space="preserve">投标供应商或所投核心产品制造商具有有效期内的质量管理体系认证证书、环境管理体系认证证书和职业健康安全管理体系认证证书。每提供一份证书得1分，最高得3分。</w:t>
      </w:r>
      <w:r>
        <w:rPr>
          <w:rFonts w:hint="eastAsia" w:ascii="宋体" w:hAnsi="宋体" w:cs="宋体"/>
          <w:b/>
          <w:color w:val="auto"/>
          <w:highlight w:val="none"/>
          <w:lang w:eastAsia="zh-CN"/>
        </w:rPr>
        <w:t xml:space="preserve">【提供相关证书有效期内查询证明截图并加盖投标供应商公章】</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2</w:t>
      </w:r>
      <w:r>
        <w:rPr>
          <w:rFonts w:ascii="宋体" w:hAnsi="宋体" w:cs="宋体"/>
          <w:b/>
          <w:color w:val="auto"/>
          <w:highlight w:val="none"/>
          <w:lang w:eastAsia="zh-CN"/>
        </w:rPr>
        <w:t xml:space="preserve">.</w:t>
      </w:r>
      <w:r>
        <w:rPr>
          <w:rFonts w:hint="eastAsia" w:ascii="宋体" w:hAnsi="宋体" w:cs="宋体"/>
          <w:b/>
          <w:bCs/>
          <w:color w:val="auto"/>
          <w:highlight w:val="none"/>
          <w:lang w:eastAsia="zh-CN"/>
        </w:rPr>
        <w:t xml:space="preserve">业绩</w:t>
      </w:r>
      <w:r>
        <w:rPr>
          <w:rFonts w:hint="eastAsia" w:ascii="宋体" w:hAnsi="宋体" w:cs="宋体"/>
          <w:b/>
          <w:color w:val="auto"/>
          <w:highlight w:val="none"/>
          <w:lang w:eastAsia="zh-CN"/>
        </w:rPr>
        <w:t xml:space="preserve">（3分）：</w:t>
      </w:r>
      <w:r/>
    </w:p>
    <w:p>
      <w:pPr>
        <w:ind w:firstLine="480"/>
        <w:spacing w:line="440" w:lineRule="exact"/>
        <w:rPr>
          <w:rFonts w:ascii="宋体" w:hAnsi="宋体" w:cs="宋体"/>
          <w:b/>
          <w:color w:val="auto"/>
          <w:highlight w:val="none"/>
          <w:lang w:eastAsia="zh-CN"/>
        </w:rPr>
      </w:pPr>
      <w:r>
        <w:rPr>
          <w:rFonts w:hint="eastAsia" w:ascii="宋体" w:hAnsi="宋体" w:cs="宋体"/>
          <w:color w:val="auto"/>
          <w:highlight w:val="none"/>
          <w:lang w:eastAsia="zh-CN"/>
        </w:rPr>
        <w:t xml:space="preserve">投标供应商自2023年1月1日（含）以来（以合同签订时间为准）承担过类似供货业绩，每提供一个业绩得1分，最高得3分。</w:t>
      </w:r>
      <w:r>
        <w:rPr>
          <w:rFonts w:hint="eastAsia" w:ascii="宋体" w:hAnsi="宋体" w:cs="宋体"/>
          <w:b/>
          <w:color w:val="auto"/>
          <w:highlight w:val="none"/>
          <w:lang w:eastAsia="zh-CN"/>
        </w:rPr>
        <w:t xml:space="preserve">【提供中标通知书及合同证明文件扫描件并加盖投标供应商公章，以上资料未提供或提供不全的不得分】</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3</w:t>
      </w:r>
      <w:r>
        <w:rPr>
          <w:rFonts w:ascii="宋体" w:hAnsi="宋体" w:cs="宋体"/>
          <w:b/>
          <w:color w:val="auto"/>
          <w:highlight w:val="none"/>
          <w:lang w:eastAsia="zh-CN"/>
        </w:rPr>
        <w:t xml:space="preserve">.</w:t>
      </w:r>
      <w:r>
        <w:rPr>
          <w:rFonts w:hint="eastAsia" w:ascii="宋体" w:hAnsi="宋体" w:cs="宋体"/>
          <w:b/>
          <w:caps/>
          <w:color w:val="auto"/>
          <w:highlight w:val="none"/>
          <w:lang w:eastAsia="zh-CN"/>
        </w:rPr>
        <w:t xml:space="preserve">质保期</w:t>
      </w:r>
      <w:r>
        <w:rPr>
          <w:rFonts w:hint="eastAsia" w:ascii="宋体" w:hAnsi="宋体" w:cs="宋体"/>
          <w:b/>
          <w:color w:val="auto"/>
          <w:highlight w:val="none"/>
          <w:lang w:eastAsia="zh-CN"/>
        </w:rPr>
        <w:t xml:space="preserve">（2分）：</w:t>
      </w:r>
      <w:r/>
    </w:p>
    <w:p>
      <w:pPr>
        <w:ind w:firstLine="480"/>
        <w:spacing w:line="440" w:lineRule="exact"/>
        <w:rPr>
          <w:rFonts w:ascii="宋体" w:hAnsi="宋体" w:cs="宋体"/>
          <w:b/>
          <w:color w:val="auto"/>
          <w:highlight w:val="none"/>
          <w:lang w:eastAsia="zh-CN"/>
        </w:rPr>
      </w:pPr>
      <w:r>
        <w:rPr>
          <w:rFonts w:hint="eastAsia" w:ascii="宋体" w:hAnsi="宋体" w:cs="宋体"/>
          <w:bCs/>
          <w:color w:val="auto"/>
          <w:highlight w:val="none"/>
          <w:lang w:eastAsia="zh-CN"/>
        </w:rPr>
        <w:t xml:space="preserve">本项目基础质保期要求为一年（损耗件除外），在此基础上每增加一年，得1分，最多得2分。</w:t>
      </w:r>
      <w:r>
        <w:rPr>
          <w:rFonts w:hint="eastAsia" w:ascii="宋体" w:hAnsi="宋体" w:cs="宋体"/>
          <w:b/>
          <w:color w:val="auto"/>
          <w:highlight w:val="none"/>
          <w:lang w:eastAsia="zh-CN"/>
        </w:rPr>
        <w:t xml:space="preserve">【提供承诺函并加盖投标供应商公章】</w:t>
      </w:r>
      <w:r/>
    </w:p>
    <w:p>
      <w:pPr>
        <w:ind w:firstLine="0"/>
        <w:spacing w:line="440" w:lineRule="exact"/>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（三）技术分（62分）</w:t>
      </w:r>
      <w:r/>
    </w:p>
    <w:p>
      <w:pPr>
        <w:ind w:firstLine="482"/>
        <w:spacing w:line="440" w:lineRule="exact"/>
        <w:widowControl w:val="off"/>
        <w:rPr>
          <w:rFonts w:ascii="宋体" w:hAnsi="宋体" w:cs="宋体"/>
          <w:bCs/>
          <w:color w:val="auto"/>
          <w:highlight w:val="none"/>
          <w:lang w:eastAsia="zh-CN"/>
        </w:rPr>
      </w:pPr>
      <w:r>
        <w:rPr>
          <w:rFonts w:hint="eastAsia" w:ascii="宋体" w:hAnsi="宋体" w:cs="宋体"/>
          <w:b/>
          <w:color w:val="auto"/>
          <w:highlight w:val="none"/>
          <w:lang w:eastAsia="zh-CN"/>
        </w:rPr>
        <w:t xml:space="preserve">1.</w:t>
      </w:r>
      <w:r>
        <w:rPr>
          <w:rFonts w:hint="eastAsia" w:ascii="宋体" w:hAnsi="宋体"/>
          <w:b/>
          <w:bCs/>
          <w:color w:val="auto"/>
          <w:szCs w:val="24"/>
          <w:highlight w:val="none"/>
          <w:lang w:eastAsia="zh-CN"/>
        </w:rPr>
        <w:t xml:space="preserve">技术参数证明材</w:t>
      </w:r>
      <w:r>
        <w:rPr>
          <w:rFonts w:hint="eastAsia" w:ascii="宋体" w:hAnsi="宋体"/>
          <w:b/>
          <w:bCs/>
          <w:color w:val="auto"/>
          <w:szCs w:val="24"/>
          <w:highlight w:val="none"/>
          <w:lang w:eastAsia="zh-CN"/>
        </w:rPr>
        <w:t xml:space="preserve">料</w:t>
      </w:r>
      <w:r>
        <w:rPr>
          <w:rFonts w:hint="eastAsia" w:ascii="宋体" w:hAnsi="宋体" w:cs="宋体"/>
          <w:b/>
          <w:bCs/>
          <w:color w:val="auto"/>
          <w:highlight w:val="none"/>
          <w:lang w:eastAsia="zh-CN"/>
        </w:rPr>
        <w:t xml:space="preserve">（</w:t>
      </w:r>
      <w:r>
        <w:rPr>
          <w:rFonts w:ascii="宋体" w:hAnsi="宋体" w:cs="宋体"/>
          <w:b/>
          <w:bCs/>
          <w:color w:val="auto"/>
          <w:highlight w:val="none"/>
          <w:lang w:eastAsia="zh-CN"/>
        </w:rPr>
        <w:t xml:space="preserve">31</w:t>
      </w:r>
      <w:r>
        <w:rPr>
          <w:rFonts w:hint="eastAsia" w:ascii="宋体" w:hAnsi="宋体" w:cs="宋体"/>
          <w:b/>
          <w:bCs/>
          <w:color w:val="auto"/>
          <w:highlight w:val="none"/>
          <w:lang w:eastAsia="zh-CN"/>
        </w:rPr>
        <w:t xml:space="preserve">分）：</w:t>
      </w:r>
      <w:r/>
    </w:p>
    <w:p>
      <w:pPr>
        <w:numPr>
          <w:ilvl w:val="4"/>
          <w:numId w:val="0"/>
        </w:numPr>
        <w:ind w:firstLine="482"/>
        <w:jc w:val="both"/>
        <w:spacing w:line="440" w:lineRule="exact"/>
        <w:widowControl w:val="off"/>
        <w:tabs>
          <w:tab w:val="left" w:pos="525" w:leader="none"/>
          <w:tab w:val="left" w:pos="945" w:leader="none"/>
          <w:tab w:val="left" w:pos="1155" w:leader="none"/>
          <w:tab w:val="left" w:pos="3823" w:leader="none"/>
        </w:tabs>
        <w:rPr>
          <w:rFonts w:ascii="宋体" w:hAnsi="宋体" w:cs="Times New Roman"/>
          <w:b/>
          <w:bCs/>
          <w:color w:val="auto"/>
          <w:szCs w:val="24"/>
          <w:highlight w:val="none"/>
          <w:lang w:eastAsia="zh-CN"/>
        </w:rPr>
      </w:pPr>
      <w:r>
        <w:rPr>
          <w:rFonts w:hint="eastAsia" w:ascii="宋体" w:hAnsi="宋体" w:cs="Times New Roman"/>
          <w:bCs/>
          <w:color w:val="auto"/>
          <w:szCs w:val="24"/>
          <w:highlight w:val="none"/>
          <w:lang w:eastAsia="zh-CN"/>
        </w:rPr>
        <w:t xml:space="preserve">在</w:t>
      </w:r>
      <w:r>
        <w:rPr>
          <w:rFonts w:hint="eastAsia" w:ascii="宋体" w:hAnsi="宋体" w:cs="Times New Roman"/>
          <w:b/>
          <w:color w:val="auto"/>
          <w:szCs w:val="24"/>
          <w:highlight w:val="none"/>
          <w:lang w:eastAsia="zh-CN"/>
        </w:rPr>
        <w:t xml:space="preserve">“</w:t>
      </w:r>
      <w:r>
        <w:rPr>
          <w:rFonts w:hint="eastAsia"/>
          <w:b/>
          <w:color w:val="auto"/>
          <w:highlight w:val="none"/>
          <w:lang w:eastAsia="zh-CN"/>
        </w:rPr>
        <w:t xml:space="preserve">三、</w:t>
      </w:r>
      <w:r>
        <w:rPr>
          <w:rFonts w:hint="eastAsia"/>
          <w:b/>
          <w:bCs/>
          <w:color w:val="auto"/>
          <w:highlight w:val="none"/>
          <w:lang w:eastAsia="zh-CN"/>
        </w:rPr>
        <w:t xml:space="preserve">采购需求和技术有关要求－</w:t>
      </w:r>
      <w:r>
        <w:rPr>
          <w:rFonts w:hint="eastAsia" w:ascii="Times New Roman"/>
          <w:b/>
          <w:bCs/>
          <w:color w:val="auto"/>
          <w:highlight w:val="none"/>
          <w:lang w:eastAsia="zh-CN"/>
        </w:rPr>
        <w:t xml:space="preserve">（二）采购清单及参数要求”</w:t>
      </w:r>
      <w:r>
        <w:rPr>
          <w:rFonts w:hint="eastAsia" w:ascii="宋体" w:hAnsi="宋体" w:cs="Times New Roman"/>
          <w:bCs/>
          <w:color w:val="auto"/>
          <w:szCs w:val="24"/>
          <w:highlight w:val="none"/>
          <w:lang w:eastAsia="zh-CN"/>
        </w:rPr>
        <w:t xml:space="preserve">要求中标记 </w:t>
      </w:r>
      <w:r>
        <w:rPr>
          <w:rFonts w:hint="eastAsia" w:ascii="宋体" w:hAnsi="宋体" w:cs="Times New Roman"/>
          <w:b/>
          <w:color w:val="auto"/>
          <w:szCs w:val="24"/>
          <w:highlight w:val="none"/>
          <w:lang w:eastAsia="zh-CN"/>
        </w:rPr>
        <w:t xml:space="preserve">“▲”</w:t>
      </w:r>
      <w:r>
        <w:rPr>
          <w:rFonts w:hint="eastAsia" w:ascii="宋体" w:hAnsi="宋体" w:cs="Times New Roman"/>
          <w:bCs/>
          <w:color w:val="auto"/>
          <w:szCs w:val="24"/>
          <w:highlight w:val="none"/>
          <w:lang w:eastAsia="zh-CN"/>
        </w:rPr>
        <w:t xml:space="preserve">的参数提供相应的证明材料，每提供一个得1分，本项最</w:t>
      </w:r>
      <w:r>
        <w:rPr>
          <w:rFonts w:hint="eastAsia" w:ascii="宋体" w:hAnsi="宋体" w:cs="Times New Roman"/>
          <w:bCs/>
          <w:color w:val="auto"/>
          <w:szCs w:val="24"/>
          <w:highlight w:val="none"/>
          <w:lang w:eastAsia="zh-CN"/>
        </w:rPr>
        <w:t xml:space="preserve">高得3</w:t>
      </w:r>
      <w:r>
        <w:rPr>
          <w:rFonts w:ascii="宋体" w:hAnsi="宋体" w:cs="Times New Roman"/>
          <w:bCs/>
          <w:color w:val="auto"/>
          <w:szCs w:val="24"/>
          <w:highlight w:val="none"/>
          <w:lang w:eastAsia="zh-CN"/>
        </w:rPr>
        <w:t xml:space="preserve">1</w:t>
      </w:r>
      <w:r>
        <w:rPr>
          <w:rFonts w:hint="eastAsia" w:ascii="宋体" w:hAnsi="宋体" w:cs="Times New Roman"/>
          <w:bCs/>
          <w:color w:val="auto"/>
          <w:szCs w:val="24"/>
          <w:highlight w:val="none"/>
          <w:lang w:eastAsia="zh-CN"/>
        </w:rPr>
        <w:t xml:space="preserve">分。</w:t>
      </w:r>
      <w:r/>
    </w:p>
    <w:p>
      <w:pPr>
        <w:ind w:firstLine="420"/>
        <w:spacing w:line="440" w:lineRule="exact"/>
        <w:widowControl w:val="off"/>
        <w:rPr>
          <w:rFonts w:ascii="宋体" w:hAnsi="宋体"/>
          <w:b/>
          <w:bCs/>
          <w:color w:val="auto"/>
          <w:szCs w:val="24"/>
          <w:highlight w:val="none"/>
          <w:lang w:eastAsia="zh-CN"/>
        </w:rPr>
      </w:pPr>
      <w:r/>
      <w:bookmarkStart w:id="27" w:name="OLE_LINK30"/>
      <w:r>
        <w:rPr>
          <w:rFonts w:hint="eastAsia" w:ascii="宋体" w:hAnsi="宋体"/>
          <w:b/>
          <w:bCs/>
          <w:color w:val="auto"/>
          <w:szCs w:val="24"/>
          <w:highlight w:val="none"/>
          <w:lang w:eastAsia="zh-CN"/>
        </w:rPr>
        <w:t xml:space="preserve">2</w:t>
      </w:r>
      <w:r>
        <w:rPr>
          <w:rFonts w:ascii="宋体" w:hAnsi="宋体"/>
          <w:b/>
          <w:bCs/>
          <w:color w:val="auto"/>
          <w:szCs w:val="24"/>
          <w:highlight w:val="none"/>
          <w:lang w:eastAsia="zh-CN"/>
        </w:rPr>
        <w:t xml:space="preserve">.</w:t>
      </w:r>
      <w:r>
        <w:rPr>
          <w:rFonts w:hint="eastAsia" w:ascii="宋体" w:hAnsi="宋体" w:cs="宋体"/>
          <w:b/>
          <w:bCs/>
          <w:color w:val="auto"/>
          <w:highlight w:val="none"/>
          <w:lang w:eastAsia="zh-CN"/>
        </w:rPr>
        <w:t xml:space="preserve">产品演示视</w:t>
      </w:r>
      <w:r>
        <w:rPr>
          <w:rFonts w:hint="eastAsia" w:ascii="宋体" w:hAnsi="宋体" w:cs="宋体"/>
          <w:b/>
          <w:bCs/>
          <w:color w:val="auto"/>
          <w:highlight w:val="none"/>
          <w:lang w:eastAsia="zh-CN"/>
        </w:rPr>
        <w:t xml:space="preserve">频</w:t>
      </w:r>
      <w:r>
        <w:rPr>
          <w:rFonts w:hint="eastAsia" w:ascii="宋体" w:hAnsi="宋体"/>
          <w:b/>
          <w:bCs/>
          <w:color w:val="auto"/>
          <w:szCs w:val="24"/>
          <w:highlight w:val="none"/>
          <w:lang w:eastAsia="zh-CN"/>
        </w:rPr>
        <w:t xml:space="preserve">（</w:t>
      </w:r>
      <w:r>
        <w:rPr>
          <w:rFonts w:ascii="宋体" w:hAnsi="宋体"/>
          <w:b/>
          <w:bCs/>
          <w:color w:val="auto"/>
          <w:szCs w:val="24"/>
          <w:highlight w:val="none"/>
          <w:lang w:eastAsia="zh-CN"/>
        </w:rPr>
        <w:t xml:space="preserve">7</w:t>
      </w:r>
      <w:r>
        <w:rPr>
          <w:rFonts w:hint="eastAsia" w:ascii="宋体" w:hAnsi="宋体"/>
          <w:b/>
          <w:bCs/>
          <w:color w:val="auto"/>
          <w:szCs w:val="24"/>
          <w:highlight w:val="none"/>
          <w:lang w:eastAsia="zh-CN"/>
        </w:rPr>
        <w:t xml:space="preserve">分）</w:t>
      </w:r>
      <w:r>
        <w:rPr>
          <w:rFonts w:hint="eastAsia" w:ascii="宋体" w:hAnsi="宋体"/>
          <w:b/>
          <w:bCs/>
          <w:color w:val="auto"/>
          <w:szCs w:val="24"/>
          <w:highlight w:val="none"/>
          <w:lang w:eastAsia="zh-CN"/>
        </w:rPr>
        <w:t xml:space="preserve">：</w:t>
      </w:r>
      <w:r/>
    </w:p>
    <w:p>
      <w:pPr>
        <w:ind w:firstLine="480"/>
        <w:spacing w:line="440" w:lineRule="exact"/>
        <w:rPr>
          <w:rFonts w:ascii="宋体" w:hAnsi="宋体" w:cs="宋体"/>
          <w:color w:val="auto"/>
          <w:highlight w:val="none"/>
          <w:lang w:eastAsia="zh-CN"/>
        </w:rPr>
      </w:pPr>
      <w:r>
        <w:rPr>
          <w:rFonts w:hint="eastAsia" w:ascii="宋体" w:hAnsi="宋体" w:cs="宋体"/>
          <w:color w:val="auto"/>
          <w:highlight w:val="none"/>
          <w:lang w:eastAsia="zh-CN"/>
        </w:rPr>
        <w:t xml:space="preserve">标注“●”项技术参数投标供应商根据以下要求通过录制视频方式进行展示演示，评审专家根据演示效果进行打分，演示文件应当使用真实系统录屏、真人视频演示或真实产品展示录制，不接受WORD、PPT、DEMO、静态图片、动态图片等文件演示，演示时间15分钟以内，投标供应商演示视频上传至苏采云平台。</w:t>
      </w:r>
      <w:r/>
    </w:p>
    <w:p>
      <w:pPr>
        <w:ind w:firstLine="482"/>
        <w:spacing w:line="44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演示一：</w:t>
      </w:r>
      <w:r>
        <w:rPr>
          <w:rFonts w:hint="eastAsia" w:ascii="宋体" w:hAnsi="宋体" w:cs="宋体"/>
          <w:b/>
          <w:bCs/>
          <w:color w:val="auto"/>
          <w:szCs w:val="24"/>
          <w:highlight w:val="none"/>
          <w:lang w:eastAsia="zh-CN"/>
        </w:rPr>
        <w:t xml:space="preserve">CNC数智一体机</w:t>
      </w:r>
      <w:r>
        <w:rPr>
          <w:rFonts w:hint="eastAsia" w:ascii="宋体" w:hAnsi="宋体" w:cs="宋体"/>
          <w:b/>
          <w:bCs/>
          <w:color w:val="auto"/>
          <w:highlight w:val="none"/>
          <w:lang w:eastAsia="zh-CN"/>
        </w:rPr>
        <w:t xml:space="preserve">提供演示</w:t>
      </w:r>
      <w:r>
        <w:rPr>
          <w:rFonts w:hint="eastAsia" w:ascii="宋体" w:hAnsi="宋体" w:cs="宋体"/>
          <w:b/>
          <w:bCs/>
          <w:color w:val="auto"/>
          <w:highlight w:val="none"/>
          <w:lang w:eastAsia="zh-CN"/>
        </w:rPr>
        <w:t xml:space="preserve">（</w:t>
      </w:r>
      <w:r>
        <w:rPr>
          <w:rFonts w:ascii="宋体" w:hAnsi="宋体" w:cs="宋体"/>
          <w:b/>
          <w:bCs/>
          <w:color w:val="auto"/>
          <w:highlight w:val="none"/>
          <w:lang w:eastAsia="zh-CN"/>
        </w:rPr>
        <w:t xml:space="preserve">2.1</w:t>
      </w:r>
      <w:r>
        <w:rPr>
          <w:rFonts w:hint="eastAsia" w:ascii="宋体" w:hAnsi="宋体" w:cs="宋体"/>
          <w:b/>
          <w:bCs/>
          <w:color w:val="auto"/>
          <w:highlight w:val="none"/>
          <w:lang w:eastAsia="zh-CN"/>
        </w:rPr>
        <w:t xml:space="preserve">分）</w:t>
      </w:r>
      <w:r/>
    </w:p>
    <w:p>
      <w:pPr>
        <w:ind w:firstLine="482"/>
        <w:spacing w:line="440" w:lineRule="exact"/>
        <w:rPr>
          <w:rFonts w:ascii="宋体" w:hAnsi="宋体" w:cs="宋体"/>
          <w:color w:val="auto"/>
          <w:highlight w:val="none"/>
          <w:lang w:eastAsia="zh-CN"/>
        </w:rPr>
      </w:pPr>
      <w:r>
        <w:rPr>
          <w:rFonts w:hint="eastAsia" w:ascii="宋体" w:hAnsi="宋体" w:cs="宋体"/>
          <w:b/>
          <w:bCs/>
          <w:color w:val="auto"/>
          <w:highlight w:val="none"/>
          <w:lang w:eastAsia="zh-CN"/>
        </w:rPr>
        <w:t xml:space="preserve">“1、数控车床部分：”</w:t>
      </w:r>
      <w:r>
        <w:rPr>
          <w:rFonts w:hint="eastAsia" w:ascii="宋体" w:hAnsi="宋体" w:cs="宋体"/>
          <w:color w:val="auto"/>
          <w:highlight w:val="none"/>
          <w:lang w:eastAsia="zh-CN"/>
        </w:rPr>
        <w:br/>
      </w:r>
      <w:r>
        <w:rPr>
          <w:rFonts w:hint="eastAsia" w:ascii="宋体" w:hAnsi="宋体" w:cs="宋体"/>
          <w:color w:val="auto"/>
          <w:highlight w:val="none"/>
          <w:lang w:eastAsia="zh-CN"/>
        </w:rPr>
        <w:tab/>
      </w: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1.1.</w:t>
      </w:r>
      <w:r>
        <w:rPr>
          <w:rFonts w:hint="eastAsia"/>
          <w:color w:val="auto"/>
          <w:highlight w:val="none"/>
          <w:lang w:eastAsia="zh-CN"/>
        </w:rPr>
        <w:t xml:space="preserve"> </w:t>
      </w:r>
      <w:r>
        <w:rPr>
          <w:rFonts w:hint="eastAsia" w:ascii="宋体" w:hAnsi="宋体" w:cs="宋体"/>
          <w:color w:val="auto"/>
          <w:highlight w:val="none"/>
          <w:lang w:eastAsia="zh-CN"/>
        </w:rPr>
        <w:t xml:space="preserve">数控车床配备发那科或三菱或西门子数控系统</w:t>
      </w:r>
      <w:r>
        <w:rPr>
          <w:rFonts w:hint="eastAsia" w:ascii="宋体" w:hAnsi="宋体" w:cs="宋体"/>
          <w:color w:val="auto"/>
          <w:highlight w:val="none"/>
          <w:lang w:eastAsia="zh-CN"/>
        </w:rPr>
        <w:t xml:space="preserve">，模拟真实数控车床运动的全过程，操作、编程与真实设备完全一致，并配备常用的刀具、工量夹具，可根据加工需求自行选择加工刀具或自定义刀具，在线进行编程操作、程序校验和加工模拟。演示内容详尽、操作性强、演示成功</w:t>
      </w:r>
      <w:r>
        <w:rPr>
          <w:rFonts w:hint="eastAsia" w:ascii="宋体" w:hAnsi="宋体" w:cs="宋体"/>
          <w:color w:val="auto"/>
          <w:highlight w:val="none"/>
          <w:lang w:eastAsia="zh-CN"/>
        </w:rPr>
        <w:t xml:space="preserve">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，能够演示但是演示内容不全，所演示部分内容均演示成</w:t>
      </w:r>
      <w:r>
        <w:rPr>
          <w:rFonts w:hint="eastAsia" w:ascii="宋体" w:hAnsi="宋体" w:cs="宋体"/>
          <w:color w:val="auto"/>
          <w:highlight w:val="none"/>
          <w:lang w:eastAsia="zh-CN"/>
        </w:rPr>
        <w:t xml:space="preserve">功，得0.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80"/>
        <w:spacing w:line="440" w:lineRule="exact"/>
        <w:rPr>
          <w:rFonts w:ascii="宋体" w:hAnsi="宋体" w:cs="宋体"/>
          <w:color w:val="auto"/>
          <w:highlight w:val="none"/>
          <w:lang w:eastAsia="zh-CN"/>
        </w:rPr>
      </w:pP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1.2.因对刀、编程和操作而导致尺寸的误差，可通过修改刀补来调整尺寸误差来达到工件尺寸的精度要求。演示内容详尽、操作性强、演示成功</w:t>
      </w:r>
      <w:r>
        <w:rPr>
          <w:rFonts w:hint="eastAsia" w:ascii="宋体" w:hAnsi="宋体" w:cs="宋体"/>
          <w:color w:val="auto"/>
          <w:highlight w:val="none"/>
          <w:lang w:eastAsia="zh-CN"/>
        </w:rPr>
        <w:t xml:space="preserve">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，能够演示但是演示内容不全，所演示部分内容均演示成</w:t>
      </w:r>
      <w:r>
        <w:rPr>
          <w:rFonts w:hint="eastAsia" w:ascii="宋体" w:hAnsi="宋体" w:cs="宋体"/>
          <w:color w:val="auto"/>
          <w:highlight w:val="none"/>
          <w:lang w:eastAsia="zh-CN"/>
        </w:rPr>
        <w:t xml:space="preserve">功，得0.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80"/>
        <w:spacing w:line="440" w:lineRule="exact"/>
        <w:rPr>
          <w:rFonts w:ascii="宋体" w:hAnsi="宋体" w:cs="宋体"/>
          <w:color w:val="auto"/>
          <w:highlight w:val="none"/>
          <w:lang w:eastAsia="zh-CN"/>
        </w:rPr>
      </w:pP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1.27、支持断点模拟功能，修改程序或更换刀具等，可由断点处继续模拟。（提供视频，视频应展示中途中断模拟功能，对程序进行修改或更换刀具后可从中断处继续模拟）演示内容详尽、操作性强、演</w:t>
      </w:r>
      <w:r>
        <w:rPr>
          <w:rFonts w:hint="eastAsia" w:ascii="宋体" w:hAnsi="宋体" w:cs="宋体"/>
          <w:color w:val="auto"/>
          <w:highlight w:val="none"/>
          <w:lang w:eastAsia="zh-CN"/>
        </w:rPr>
        <w:t xml:space="preserve">示成功得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，能够演示但是演示内容不全，所演示部分内容均演示成</w:t>
      </w:r>
      <w:r>
        <w:rPr>
          <w:rFonts w:hint="eastAsia" w:ascii="宋体" w:hAnsi="宋体" w:cs="宋体"/>
          <w:color w:val="auto"/>
          <w:highlight w:val="none"/>
          <w:lang w:eastAsia="zh-CN"/>
        </w:rPr>
        <w:t xml:space="preserve">功，得0.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82"/>
        <w:spacing w:line="44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演示二：</w:t>
      </w:r>
      <w:r>
        <w:rPr>
          <w:rFonts w:hint="eastAsia" w:ascii="宋体" w:hAnsi="宋体" w:cs="宋体"/>
          <w:b/>
          <w:bCs/>
          <w:color w:val="auto"/>
          <w:szCs w:val="24"/>
          <w:highlight w:val="none"/>
          <w:lang w:eastAsia="zh-CN"/>
        </w:rPr>
        <w:t xml:space="preserve">五轴数控一体机</w:t>
      </w:r>
      <w:r>
        <w:rPr>
          <w:rFonts w:hint="eastAsia" w:ascii="宋体" w:hAnsi="宋体" w:cs="宋体"/>
          <w:b/>
          <w:bCs/>
          <w:color w:val="auto"/>
          <w:highlight w:val="none"/>
          <w:lang w:eastAsia="zh-CN"/>
        </w:rPr>
        <w:t xml:space="preserve">提供</w:t>
      </w:r>
      <w:r>
        <w:rPr>
          <w:rFonts w:hint="eastAsia" w:ascii="宋体" w:hAnsi="宋体" w:cs="宋体"/>
          <w:b/>
          <w:bCs/>
          <w:color w:val="auto"/>
          <w:highlight w:val="none"/>
          <w:lang w:eastAsia="zh-CN"/>
        </w:rPr>
        <w:t xml:space="preserve">演示（</w:t>
      </w:r>
      <w:r>
        <w:rPr>
          <w:rFonts w:ascii="宋体" w:hAnsi="宋体" w:cs="宋体"/>
          <w:b/>
          <w:bCs/>
          <w:color w:val="auto"/>
          <w:highlight w:val="none"/>
          <w:lang w:eastAsia="zh-CN"/>
        </w:rPr>
        <w:t xml:space="preserve">4.9</w:t>
      </w:r>
      <w:r>
        <w:rPr>
          <w:rFonts w:hint="eastAsia" w:ascii="宋体" w:hAnsi="宋体" w:cs="宋体"/>
          <w:b/>
          <w:bCs/>
          <w:color w:val="auto"/>
          <w:highlight w:val="none"/>
          <w:lang w:eastAsia="zh-CN"/>
        </w:rPr>
        <w:t xml:space="preserve">分）</w:t>
      </w:r>
      <w:r/>
    </w:p>
    <w:p>
      <w:pPr>
        <w:ind w:firstLine="482"/>
        <w:spacing w:line="440" w:lineRule="exact"/>
        <w:rPr>
          <w:rFonts w:ascii="宋体" w:hAnsi="宋体" w:cs="宋体"/>
          <w:b/>
          <w:bCs/>
          <w:color w:val="auto"/>
          <w:highlight w:val="none"/>
          <w:lang w:eastAsia="zh-CN"/>
        </w:rPr>
      </w:pPr>
      <w:r>
        <w:rPr>
          <w:rFonts w:ascii="宋体" w:hAnsi="宋体" w:cs="宋体"/>
          <w:b/>
          <w:bCs/>
          <w:color w:val="auto"/>
          <w:highlight w:val="none"/>
          <w:lang w:eastAsia="zh-CN"/>
        </w:rPr>
        <w:t xml:space="preserve">“</w:t>
      </w:r>
      <w:r>
        <w:rPr>
          <w:rFonts w:hint="eastAsia" w:ascii="宋体" w:hAnsi="宋体" w:cs="宋体"/>
          <w:b/>
          <w:bCs/>
          <w:color w:val="auto"/>
          <w:highlight w:val="none"/>
          <w:lang w:eastAsia="zh-CN"/>
        </w:rPr>
        <w:t xml:space="preserve">二、五轴数控虚拟仿真系统</w:t>
      </w:r>
      <w:r>
        <w:rPr>
          <w:rFonts w:ascii="宋体" w:hAnsi="宋体" w:cs="宋体"/>
          <w:b/>
          <w:bCs/>
          <w:color w:val="auto"/>
          <w:highlight w:val="none"/>
          <w:lang w:eastAsia="zh-CN"/>
        </w:rPr>
        <w:t xml:space="preserve">”</w:t>
      </w:r>
      <w:r/>
    </w:p>
    <w:p>
      <w:pPr>
        <w:ind w:firstLine="480"/>
        <w:spacing w:line="440" w:lineRule="exact"/>
        <w:rPr>
          <w:rFonts w:ascii="宋体" w:hAnsi="宋体" w:cs="宋体"/>
          <w:color w:val="auto"/>
          <w:highlight w:val="none"/>
          <w:lang w:eastAsia="zh-CN"/>
        </w:rPr>
      </w:pP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8、支持断点模拟功能，修改程序或更换刀具等，可由断点处继续模拟加工，可恢复毛坯形状、装夹位置、刀具刀位、NC程序、机床操作及操作日志。演示内容详尽、操作性强、演示</w:t>
      </w:r>
      <w:r>
        <w:rPr>
          <w:rFonts w:hint="eastAsia" w:ascii="宋体" w:hAnsi="宋体" w:cs="宋体"/>
          <w:color w:val="auto"/>
          <w:highlight w:val="none"/>
          <w:lang w:eastAsia="zh-CN"/>
        </w:rPr>
        <w:t xml:space="preserve">成功得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能够演示但是演示内容不全，所演示部分内容均演示成</w:t>
      </w:r>
      <w:r>
        <w:rPr>
          <w:rFonts w:hint="eastAsia" w:ascii="宋体" w:hAnsi="宋体" w:cs="宋体"/>
          <w:color w:val="auto"/>
          <w:highlight w:val="none"/>
          <w:lang w:eastAsia="zh-CN"/>
        </w:rPr>
        <w:t xml:space="preserve">功，得0.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80"/>
        <w:spacing w:line="440" w:lineRule="exact"/>
        <w:rPr>
          <w:rFonts w:ascii="宋体" w:hAnsi="宋体" w:cs="宋体"/>
          <w:color w:val="auto"/>
          <w:highlight w:val="none"/>
          <w:lang w:eastAsia="zh-CN"/>
        </w:rPr>
      </w:pP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10、配备移动刀具车，还原真实加工环境，配备动画演示刀具、工件安装过程，促使学员更快掌握相应的专业技能，配备40个以上刀位的链式刀库和交换式机械手自动换刀装置。演示内容详尽、操作性强、演</w:t>
      </w:r>
      <w:r>
        <w:rPr>
          <w:rFonts w:hint="eastAsia" w:ascii="宋体" w:hAnsi="宋体" w:cs="宋体"/>
          <w:color w:val="auto"/>
          <w:highlight w:val="none"/>
          <w:lang w:eastAsia="zh-CN"/>
        </w:rPr>
        <w:t xml:space="preserve">示成功得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能够演示但是演示内容不全，所演示部分内容均演示成功</w:t>
      </w:r>
      <w:r>
        <w:rPr>
          <w:rFonts w:hint="eastAsia" w:ascii="宋体" w:hAnsi="宋体" w:cs="宋体"/>
          <w:color w:val="auto"/>
          <w:highlight w:val="none"/>
          <w:lang w:eastAsia="zh-CN"/>
        </w:rPr>
        <w:t xml:space="preserve">，得0.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82"/>
        <w:spacing w:line="44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“三、数据中心”</w:t>
      </w:r>
      <w:r/>
    </w:p>
    <w:p>
      <w:pPr>
        <w:ind w:firstLine="480"/>
        <w:spacing w:line="440" w:lineRule="exact"/>
        <w:rPr>
          <w:rFonts w:ascii="宋体" w:hAnsi="宋体" w:cs="宋体"/>
          <w:color w:val="auto"/>
          <w:highlight w:val="none"/>
          <w:lang w:eastAsia="zh-CN"/>
        </w:rPr>
      </w:pP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1、工艺过程数据采集：定义毛坯参数，建立切削模型，指定装夹方式，关联加工工艺，数字化工件尺寸，支持在线测量精度，分析尺寸数据。采集数控程序代码、刀具参数等，形成大数据库。演示内容详尽、操作性强、演示</w:t>
      </w:r>
      <w:r>
        <w:rPr>
          <w:rFonts w:hint="eastAsia" w:ascii="宋体" w:hAnsi="宋体" w:cs="宋体"/>
          <w:color w:val="auto"/>
          <w:highlight w:val="none"/>
          <w:lang w:eastAsia="zh-CN"/>
        </w:rPr>
        <w:t xml:space="preserve">成功得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，能够演示但是演示内容不全，所演示部分内容均演示成功</w:t>
      </w:r>
      <w:r>
        <w:rPr>
          <w:rFonts w:hint="eastAsia" w:ascii="宋体" w:hAnsi="宋体" w:cs="宋体"/>
          <w:color w:val="auto"/>
          <w:highlight w:val="none"/>
          <w:lang w:eastAsia="zh-CN"/>
        </w:rPr>
        <w:t xml:space="preserve">，得0.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80"/>
        <w:spacing w:line="440" w:lineRule="exact"/>
        <w:rPr>
          <w:rFonts w:ascii="宋体" w:hAnsi="宋体" w:cs="宋体"/>
          <w:color w:val="auto"/>
          <w:highlight w:val="none"/>
          <w:lang w:eastAsia="zh-CN"/>
        </w:rPr>
      </w:pP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5、大数据智能分析：平台包括数据采集、操作评测、数据分析系统。采集编程操作、软件参数、仿真过程数据等，应用智能算法，形成智能分析和反馈能力。演示内容详尽、操作性强、演示</w:t>
      </w:r>
      <w:r>
        <w:rPr>
          <w:rFonts w:hint="eastAsia" w:ascii="宋体" w:hAnsi="宋体" w:cs="宋体"/>
          <w:color w:val="auto"/>
          <w:highlight w:val="none"/>
          <w:lang w:eastAsia="zh-CN"/>
        </w:rPr>
        <w:t xml:space="preserve">成功得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w:t>
      </w:r>
      <w:r>
        <w:rPr>
          <w:rFonts w:hint="eastAsia" w:ascii="宋体" w:hAnsi="宋体" w:cs="宋体"/>
          <w:color w:val="auto"/>
          <w:highlight w:val="none"/>
          <w:lang w:eastAsia="zh-CN"/>
        </w:rPr>
        <w:t xml:space="preserve">演示成功，得0.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82"/>
        <w:spacing w:line="44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“四、AI大模型教学交互功能”</w:t>
      </w:r>
      <w:r/>
    </w:p>
    <w:p>
      <w:pPr>
        <w:ind w:firstLine="480"/>
        <w:spacing w:line="440" w:lineRule="exact"/>
        <w:rPr>
          <w:rFonts w:ascii="宋体" w:hAnsi="宋体" w:cs="宋体"/>
          <w:color w:val="auto"/>
          <w:highlight w:val="none"/>
          <w:lang w:eastAsia="zh-CN"/>
        </w:rPr>
      </w:pP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2、支持大模型教学功能，根据学生考核情况，动态生成个性化学习建议与指导自动评估学员操作并输出改进建议。演示内容详尽、操作性强、演</w:t>
      </w:r>
      <w:r>
        <w:rPr>
          <w:rFonts w:hint="eastAsia" w:ascii="宋体" w:hAnsi="宋体" w:cs="宋体"/>
          <w:color w:val="auto"/>
          <w:highlight w:val="none"/>
          <w:lang w:eastAsia="zh-CN"/>
        </w:rPr>
        <w:t xml:space="preserve">示成功得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，能够演示但是演示内容不全，所演示部分内容均演示成功</w:t>
      </w:r>
      <w:r>
        <w:rPr>
          <w:rFonts w:hint="eastAsia" w:ascii="宋体" w:hAnsi="宋体" w:cs="宋体"/>
          <w:color w:val="auto"/>
          <w:highlight w:val="none"/>
          <w:lang w:eastAsia="zh-CN"/>
        </w:rPr>
        <w:t xml:space="preserve">，得0.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80"/>
        <w:spacing w:line="440" w:lineRule="exact"/>
        <w:rPr>
          <w:rFonts w:ascii="宋体" w:hAnsi="宋体" w:cs="宋体"/>
          <w:color w:val="auto"/>
          <w:highlight w:val="none"/>
          <w:lang w:eastAsia="zh-CN"/>
        </w:rPr>
      </w:pP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4、支持基于材料特性自动计算切削参数并生成加工方案，同时根据加工参数（尺寸/材质/精度等）智能编排数控流程，直接调用仿真软件动态展示操作流程，通过实例教学实现"参数计算→方案生成→流程执行"的全链路可视化教学，强化学生对工艺设计与数控编程逻辑的理解。演示内容详尽、操作性强、演示</w:t>
      </w:r>
      <w:r>
        <w:rPr>
          <w:rFonts w:hint="eastAsia" w:ascii="宋体" w:hAnsi="宋体" w:cs="宋体"/>
          <w:color w:val="auto"/>
          <w:highlight w:val="none"/>
          <w:lang w:eastAsia="zh-CN"/>
        </w:rPr>
        <w:t xml:space="preserve">成功得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能够演示但是演示内容不全，所演示部分内容均演示</w:t>
      </w:r>
      <w:r>
        <w:rPr>
          <w:rFonts w:hint="eastAsia" w:ascii="宋体" w:hAnsi="宋体" w:cs="宋体"/>
          <w:color w:val="auto"/>
          <w:highlight w:val="none"/>
          <w:lang w:eastAsia="zh-CN"/>
        </w:rPr>
        <w:t xml:space="preserve">成功，得0.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82"/>
        <w:spacing w:line="440" w:lineRule="exact"/>
        <w:rPr>
          <w:rFonts w:ascii="宋体" w:hAnsi="宋体" w:cs="宋体"/>
          <w:b/>
          <w:bCs/>
          <w:color w:val="auto"/>
          <w:highlight w:val="none"/>
          <w:lang w:eastAsia="zh-CN"/>
        </w:rPr>
      </w:pPr>
      <w:r>
        <w:rPr>
          <w:rFonts w:hint="eastAsia" w:ascii="宋体" w:hAnsi="宋体" w:cs="宋体"/>
          <w:b/>
          <w:bCs/>
          <w:color w:val="auto"/>
          <w:highlight w:val="none"/>
          <w:lang w:eastAsia="zh-CN"/>
        </w:rPr>
        <w:t xml:space="preserve">“五、虚拟机床博览&amp;自定义工厂模块”</w:t>
      </w:r>
      <w:r/>
    </w:p>
    <w:p>
      <w:pPr>
        <w:ind w:firstLine="420"/>
        <w:spacing w:line="440" w:lineRule="exact"/>
        <w:widowControl w:val="off"/>
        <w:rPr>
          <w:rFonts w:ascii="宋体" w:hAnsi="宋体" w:cs="宋体"/>
          <w:color w:val="auto"/>
          <w:highlight w:val="none"/>
          <w:lang w:eastAsia="zh-CN"/>
        </w:rPr>
      </w:pPr>
      <w:r>
        <w:rPr>
          <w:rFonts w:hint="eastAsia" w:ascii="宋体" w:hAnsi="宋体" w:cs="宋体"/>
          <w:bCs/>
          <w:color w:val="auto"/>
          <w:highlight w:val="none"/>
          <w:lang w:eastAsia="zh-CN"/>
        </w:rPr>
        <w:t xml:space="preserve">●</w:t>
      </w:r>
      <w:r>
        <w:rPr>
          <w:rFonts w:hint="eastAsia" w:ascii="宋体" w:hAnsi="宋体" w:cs="宋体"/>
          <w:color w:val="auto"/>
          <w:highlight w:val="none"/>
          <w:lang w:eastAsia="zh-CN"/>
        </w:rPr>
        <w:t xml:space="preserve">5.3虚拟机床博览馆模块支持游客模式与自动/手动游览切换，用户可通过键盘、鼠标控制角色移动及视角调整，自由缩放查看图片与3D模型；交互操作需逻辑清晰（如通过科普平台入口引导系统访问），实时响应用户对模型、动画及图文信息的互动需求。演示内容详尽、操作性强、演</w:t>
      </w:r>
      <w:r>
        <w:rPr>
          <w:rFonts w:hint="eastAsia" w:ascii="宋体" w:hAnsi="宋体" w:cs="宋体"/>
          <w:color w:val="auto"/>
          <w:highlight w:val="none"/>
          <w:lang w:eastAsia="zh-CN"/>
        </w:rPr>
        <w:t xml:space="preserve">示成功得</w:t>
      </w:r>
      <w:r>
        <w:rPr>
          <w:rFonts w:ascii="宋体" w:hAnsi="宋体" w:cs="宋体"/>
          <w:color w:val="auto"/>
          <w:highlight w:val="none"/>
          <w:lang w:eastAsia="zh-CN"/>
        </w:rPr>
        <w:t xml:space="preserve">0.7</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，能够演示但是演示内容不全，所演示部分内容均演示</w:t>
      </w:r>
      <w:r>
        <w:rPr>
          <w:rFonts w:hint="eastAsia" w:ascii="宋体" w:hAnsi="宋体" w:cs="宋体"/>
          <w:color w:val="auto"/>
          <w:highlight w:val="none"/>
          <w:lang w:eastAsia="zh-CN"/>
        </w:rPr>
        <w:t xml:space="preserve">成功，得0.</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rPr>
          <w:rFonts w:hint="eastAsia" w:ascii="宋体" w:hAnsi="宋体" w:cs="宋体"/>
          <w:color w:val="auto"/>
          <w:highlight w:val="none"/>
          <w:lang w:eastAsia="zh-CN"/>
        </w:rPr>
        <w:t xml:space="preserve">不演示或者演示失败不得分。</w:t>
      </w:r>
      <w:r/>
    </w:p>
    <w:p>
      <w:pPr>
        <w:ind w:firstLine="420"/>
        <w:spacing w:line="440" w:lineRule="exact"/>
        <w:widowControl w:val="off"/>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3</w:t>
      </w:r>
      <w:r>
        <w:rPr>
          <w:rFonts w:ascii="宋体" w:hAnsi="宋体"/>
          <w:b/>
          <w:bCs/>
          <w:color w:val="auto"/>
          <w:szCs w:val="24"/>
          <w:highlight w:val="none"/>
          <w:lang w:eastAsia="zh-CN"/>
        </w:rPr>
        <w:t xml:space="preserve">.</w:t>
      </w:r>
      <w:r>
        <w:rPr>
          <w:rFonts w:hint="eastAsia" w:ascii="宋体" w:hAnsi="宋体"/>
          <w:b/>
          <w:bCs/>
          <w:color w:val="auto"/>
          <w:szCs w:val="24"/>
          <w:highlight w:val="none"/>
          <w:lang w:eastAsia="zh-CN"/>
        </w:rPr>
        <w:t xml:space="preserve">技术方案（暗标</w:t>
      </w:r>
      <w:r>
        <w:rPr>
          <w:rFonts w:hint="eastAsia" w:ascii="宋体" w:hAnsi="宋体"/>
          <w:b/>
          <w:bCs/>
          <w:color w:val="auto"/>
          <w:szCs w:val="24"/>
          <w:highlight w:val="none"/>
          <w:lang w:eastAsia="zh-CN"/>
        </w:rPr>
        <w:t xml:space="preserve">）（</w:t>
      </w:r>
      <w:r>
        <w:rPr>
          <w:rFonts w:ascii="宋体" w:hAnsi="宋体"/>
          <w:b/>
          <w:bCs/>
          <w:color w:val="auto"/>
          <w:szCs w:val="24"/>
          <w:highlight w:val="none"/>
          <w:lang w:eastAsia="zh-CN"/>
        </w:rPr>
        <w:t xml:space="preserve">24</w:t>
      </w:r>
      <w:r>
        <w:rPr>
          <w:rFonts w:hint="eastAsia" w:ascii="宋体" w:hAnsi="宋体"/>
          <w:b/>
          <w:bCs/>
          <w:color w:val="auto"/>
          <w:szCs w:val="24"/>
          <w:highlight w:val="none"/>
          <w:lang w:eastAsia="zh-CN"/>
        </w:rPr>
        <w:t xml:space="preserve">分）</w:t>
      </w:r>
      <w:r/>
    </w:p>
    <w:p>
      <w:pPr>
        <w:ind w:firstLine="420"/>
        <w:spacing w:line="440" w:lineRule="exact"/>
        <w:widowControl w:val="off"/>
        <w:rPr>
          <w:rFonts w:ascii="宋体" w:hAnsi="宋体"/>
          <w:b/>
          <w:bCs/>
          <w:color w:val="auto"/>
          <w:szCs w:val="24"/>
          <w:highlight w:val="none"/>
          <w:lang w:eastAsia="zh-CN"/>
        </w:rPr>
      </w:pPr>
      <w:r>
        <w:rPr>
          <w:rFonts w:hint="eastAsia" w:ascii="宋体" w:hAnsi="宋体" w:cs="宋体"/>
          <w:b/>
          <w:color w:val="auto"/>
          <w:highlight w:val="none"/>
          <w:lang w:eastAsia="zh-CN"/>
        </w:rPr>
        <w:t xml:space="preserve">(1)</w:t>
      </w:r>
      <w:r>
        <w:rPr>
          <w:rFonts w:hint="eastAsia" w:ascii="宋体" w:hAnsi="宋体" w:cs="宋体"/>
          <w:b/>
          <w:bCs/>
          <w:color w:val="auto"/>
          <w:highlight w:val="none"/>
          <w:lang w:eastAsia="zh-CN"/>
        </w:rPr>
        <w:t xml:space="preserve">项目实施</w:t>
      </w:r>
      <w:r>
        <w:rPr>
          <w:rFonts w:hint="eastAsia" w:ascii="宋体" w:hAnsi="宋体" w:cs="宋体"/>
          <w:b/>
          <w:bCs/>
          <w:color w:val="auto"/>
          <w:highlight w:val="none"/>
          <w:lang w:eastAsia="zh-CN"/>
        </w:rPr>
        <w:t xml:space="preserve">方案</w:t>
      </w:r>
      <w:r>
        <w:rPr>
          <w:rFonts w:hint="eastAsia" w:ascii="宋体" w:hAnsi="宋体"/>
          <w:b/>
          <w:bCs/>
          <w:color w:val="auto"/>
          <w:szCs w:val="24"/>
          <w:highlight w:val="none"/>
          <w:lang w:eastAsia="zh-CN"/>
        </w:rPr>
        <w:t xml:space="preserve">（</w:t>
      </w:r>
      <w:r>
        <w:rPr>
          <w:rFonts w:ascii="宋体" w:hAnsi="宋体"/>
          <w:b/>
          <w:bCs/>
          <w:color w:val="auto"/>
          <w:szCs w:val="24"/>
          <w:highlight w:val="none"/>
          <w:lang w:eastAsia="zh-CN"/>
        </w:rPr>
        <w:t xml:space="preserve">8</w:t>
      </w:r>
      <w:r>
        <w:rPr>
          <w:rFonts w:hint="eastAsia" w:ascii="宋体" w:hAnsi="宋体"/>
          <w:b/>
          <w:bCs/>
          <w:color w:val="auto"/>
          <w:szCs w:val="24"/>
          <w:highlight w:val="none"/>
          <w:lang w:eastAsia="zh-CN"/>
        </w:rPr>
        <w:t xml:space="preserve">分）：</w:t>
      </w:r>
      <w:r/>
    </w:p>
    <w:p>
      <w:pPr>
        <w:ind w:firstLine="420"/>
        <w:spacing w:line="440" w:lineRule="exact"/>
        <w:widowControl w:val="off"/>
        <w:rPr>
          <w:rFonts w:ascii="宋体" w:hAnsi="宋体"/>
          <w:color w:val="auto"/>
          <w:szCs w:val="24"/>
          <w:highlight w:val="none"/>
          <w:lang w:eastAsia="zh-CN"/>
        </w:rPr>
      </w:pPr>
      <w:r>
        <w:rPr>
          <w:rFonts w:hint="eastAsia" w:ascii="宋体" w:hAnsi="宋体"/>
          <w:color w:val="auto"/>
          <w:szCs w:val="24"/>
          <w:highlight w:val="none"/>
          <w:lang w:eastAsia="zh-CN"/>
        </w:rPr>
        <w:t xml:space="preserve">根据投标供应商提供的组织实施方案（包括结合现场的布局图以及电气原理图，供货进度保证措施、质量保证措施、协调配合能力、应急措施等内容）进行综合评分：</w:t>
      </w:r>
      <w:r/>
    </w:p>
    <w:p>
      <w:pPr>
        <w:ind w:firstLine="420"/>
        <w:spacing w:line="440" w:lineRule="exact"/>
        <w:widowControl w:val="off"/>
        <w:rPr>
          <w:rFonts w:ascii="宋体" w:hAnsi="宋体"/>
          <w:color w:val="auto"/>
          <w:szCs w:val="24"/>
          <w:highlight w:val="none"/>
          <w:lang w:eastAsia="zh-CN"/>
        </w:rPr>
      </w:pPr>
      <w:r>
        <w:rPr>
          <w:rFonts w:hint="eastAsia" w:ascii="宋体" w:hAnsi="宋体"/>
          <w:color w:val="auto"/>
          <w:szCs w:val="24"/>
          <w:highlight w:val="none"/>
          <w:lang w:eastAsia="zh-CN"/>
        </w:rPr>
        <w:t xml:space="preserve">现场的布局图以及电气原理图科学合理，供货进度安排科学合理，质量保证措施切实有效，协调配合能力优异，应急措施全面得当的</w:t>
      </w:r>
      <w:r>
        <w:rPr>
          <w:rFonts w:hint="eastAsia" w:ascii="宋体" w:hAnsi="宋体"/>
          <w:color w:val="auto"/>
          <w:szCs w:val="24"/>
          <w:highlight w:val="none"/>
          <w:lang w:eastAsia="zh-CN"/>
        </w:rPr>
        <w:t xml:space="preserve">，得</w:t>
      </w:r>
      <w:r>
        <w:rPr>
          <w:rFonts w:ascii="宋体" w:hAnsi="宋体"/>
          <w:color w:val="auto"/>
          <w:szCs w:val="24"/>
          <w:highlight w:val="none"/>
          <w:lang w:eastAsia="zh-CN"/>
        </w:rPr>
        <w:t xml:space="preserve">8</w:t>
      </w:r>
      <w:r>
        <w:rPr>
          <w:rFonts w:hint="eastAsia" w:ascii="宋体" w:hAnsi="宋体"/>
          <w:color w:val="auto"/>
          <w:szCs w:val="24"/>
          <w:highlight w:val="none"/>
          <w:lang w:eastAsia="zh-CN"/>
        </w:rPr>
        <w:t xml:space="preserve">分</w:t>
      </w:r>
      <w:r>
        <w:rPr>
          <w:rFonts w:hint="eastAsia" w:ascii="宋体" w:hAnsi="宋体"/>
          <w:color w:val="auto"/>
          <w:szCs w:val="24"/>
          <w:highlight w:val="none"/>
          <w:lang w:eastAsia="zh-CN"/>
        </w:rPr>
        <w:t xml:space="preserve">；</w:t>
      </w:r>
      <w:r/>
    </w:p>
    <w:p>
      <w:pPr>
        <w:ind w:firstLine="420"/>
        <w:spacing w:line="440" w:lineRule="exact"/>
        <w:widowControl w:val="off"/>
        <w:rPr>
          <w:rFonts w:ascii="宋体" w:hAnsi="宋体"/>
          <w:color w:val="auto"/>
          <w:szCs w:val="24"/>
          <w:highlight w:val="none"/>
          <w:lang w:eastAsia="zh-CN"/>
        </w:rPr>
      </w:pPr>
      <w:r>
        <w:rPr>
          <w:rFonts w:hint="eastAsia" w:ascii="宋体" w:hAnsi="宋体"/>
          <w:color w:val="auto"/>
          <w:szCs w:val="24"/>
          <w:highlight w:val="none"/>
          <w:lang w:eastAsia="zh-CN"/>
        </w:rPr>
        <w:t xml:space="preserve">现场的布局图以及电气原理图较为科学合理，供货进度安排较为科学合理，质量保证措施较为有效，协调配合能力良好，应急措施较为全面的</w:t>
      </w:r>
      <w:r>
        <w:rPr>
          <w:rFonts w:hint="eastAsia" w:ascii="宋体" w:hAnsi="宋体"/>
          <w:color w:val="auto"/>
          <w:szCs w:val="24"/>
          <w:highlight w:val="none"/>
          <w:lang w:eastAsia="zh-CN"/>
        </w:rPr>
        <w:t xml:space="preserve">，得</w:t>
      </w:r>
      <w:r>
        <w:rPr>
          <w:rFonts w:ascii="宋体" w:hAnsi="宋体"/>
          <w:color w:val="auto"/>
          <w:szCs w:val="24"/>
          <w:highlight w:val="none"/>
          <w:lang w:eastAsia="zh-CN"/>
        </w:rPr>
        <w:t xml:space="preserve">4</w:t>
      </w:r>
      <w:r>
        <w:rPr>
          <w:rFonts w:hint="eastAsia" w:ascii="宋体" w:hAnsi="宋体"/>
          <w:color w:val="auto"/>
          <w:szCs w:val="24"/>
          <w:highlight w:val="none"/>
          <w:lang w:eastAsia="zh-CN"/>
        </w:rPr>
        <w:t xml:space="preserve">分；</w:t>
      </w:r>
      <w:r/>
    </w:p>
    <w:p>
      <w:pPr>
        <w:ind w:firstLine="420"/>
        <w:spacing w:line="440" w:lineRule="exact"/>
        <w:widowControl w:val="off"/>
        <w:rPr>
          <w:rFonts w:ascii="宋体" w:hAnsi="宋体"/>
          <w:color w:val="auto"/>
          <w:szCs w:val="24"/>
          <w:highlight w:val="none"/>
          <w:lang w:eastAsia="zh-CN"/>
        </w:rPr>
      </w:pPr>
      <w:r>
        <w:rPr>
          <w:rFonts w:hint="eastAsia" w:ascii="宋体" w:hAnsi="宋体"/>
          <w:color w:val="auto"/>
          <w:szCs w:val="24"/>
          <w:highlight w:val="none"/>
          <w:lang w:eastAsia="zh-CN"/>
        </w:rPr>
        <w:t xml:space="preserve">现场的布局图以及电气原理图一般，供货进度安排一般，质量保证措施一般，协调配合能力一般，应急措施不够有效的，得1分；</w:t>
      </w:r>
      <w:r/>
    </w:p>
    <w:p>
      <w:pPr>
        <w:ind w:firstLine="420"/>
        <w:spacing w:line="440" w:lineRule="exact"/>
        <w:widowControl w:val="off"/>
        <w:rPr>
          <w:rFonts w:ascii="宋体" w:hAnsi="宋体"/>
          <w:color w:val="auto"/>
          <w:szCs w:val="24"/>
          <w:highlight w:val="none"/>
          <w:lang w:eastAsia="zh-CN"/>
        </w:rPr>
      </w:pPr>
      <w:r>
        <w:rPr>
          <w:rFonts w:hint="eastAsia" w:ascii="宋体" w:hAnsi="宋体"/>
          <w:color w:val="auto"/>
          <w:szCs w:val="24"/>
          <w:highlight w:val="none"/>
          <w:lang w:eastAsia="zh-CN"/>
        </w:rPr>
        <w:t xml:space="preserve">未提供方案的不得分。</w:t>
      </w:r>
      <w:r/>
    </w:p>
    <w:p>
      <w:pPr>
        <w:ind w:firstLine="420"/>
        <w:spacing w:line="440" w:lineRule="exact"/>
        <w:widowControl w:val="off"/>
        <w:rPr>
          <w:rFonts w:ascii="宋体" w:hAnsi="宋体"/>
          <w:color w:val="auto"/>
          <w:szCs w:val="24"/>
          <w:highlight w:val="none"/>
          <w:lang w:eastAsia="zh-CN"/>
        </w:rPr>
      </w:pPr>
      <w:r>
        <w:rPr>
          <w:rFonts w:hint="eastAsia" w:ascii="宋体" w:hAnsi="宋体" w:cs="宋体"/>
          <w:b/>
          <w:color w:val="auto"/>
          <w:highlight w:val="none"/>
          <w:lang w:eastAsia="zh-CN"/>
        </w:rPr>
        <w:t xml:space="preserve">【提供实验室场地平面图以及电气原理图，不提供不得分】</w:t>
      </w:r>
      <w:r/>
    </w:p>
    <w:p>
      <w:pPr>
        <w:ind w:firstLine="420"/>
        <w:spacing w:line="440" w:lineRule="exact"/>
        <w:widowControl w:val="off"/>
        <w:rPr>
          <w:rFonts w:ascii="宋体" w:hAnsi="宋体"/>
          <w:b/>
          <w:bCs/>
          <w:color w:val="auto"/>
          <w:szCs w:val="24"/>
          <w:highlight w:val="none"/>
          <w:lang w:eastAsia="zh-CN"/>
        </w:rPr>
      </w:pPr>
      <w:r>
        <w:rPr>
          <w:rFonts w:hint="eastAsia" w:ascii="宋体" w:hAnsi="宋体" w:cs="宋体"/>
          <w:b/>
          <w:color w:val="auto"/>
          <w:highlight w:val="none"/>
          <w:lang w:eastAsia="zh-CN"/>
        </w:rPr>
        <w:t xml:space="preserve">(</w:t>
      </w:r>
      <w:r>
        <w:rPr>
          <w:rFonts w:ascii="宋体" w:hAnsi="宋体" w:cs="宋体"/>
          <w:b/>
          <w:color w:val="auto"/>
          <w:highlight w:val="none"/>
          <w:lang w:eastAsia="zh-CN"/>
        </w:rPr>
        <w:t xml:space="preserve">2</w:t>
      </w:r>
      <w:r>
        <w:rPr>
          <w:rFonts w:hint="eastAsia" w:ascii="宋体" w:hAnsi="宋体" w:cs="宋体"/>
          <w:b/>
          <w:color w:val="auto"/>
          <w:highlight w:val="none"/>
          <w:lang w:eastAsia="zh-CN"/>
        </w:rPr>
        <w:t xml:space="preserve">)</w:t>
      </w:r>
      <w:r>
        <w:rPr>
          <w:rFonts w:hint="eastAsia" w:ascii="宋体" w:hAnsi="宋体" w:cs="宋体"/>
          <w:b/>
          <w:bCs/>
          <w:color w:val="auto"/>
          <w:highlight w:val="none"/>
          <w:lang w:eastAsia="zh-CN"/>
        </w:rPr>
        <w:t xml:space="preserve">项目质量保证措</w:t>
      </w:r>
      <w:r>
        <w:rPr>
          <w:rFonts w:hint="eastAsia" w:ascii="宋体" w:hAnsi="宋体" w:cs="宋体"/>
          <w:b/>
          <w:bCs/>
          <w:color w:val="auto"/>
          <w:highlight w:val="none"/>
          <w:lang w:eastAsia="zh-CN"/>
        </w:rPr>
        <w:t xml:space="preserve">施</w:t>
      </w:r>
      <w:r>
        <w:rPr>
          <w:rFonts w:hint="eastAsia" w:ascii="宋体" w:hAnsi="宋体"/>
          <w:b/>
          <w:bCs/>
          <w:color w:val="auto"/>
          <w:szCs w:val="24"/>
          <w:highlight w:val="none"/>
          <w:lang w:eastAsia="zh-CN"/>
        </w:rPr>
        <w:t xml:space="preserve">（</w:t>
      </w:r>
      <w:r>
        <w:rPr>
          <w:rFonts w:ascii="宋体" w:hAnsi="宋体"/>
          <w:b/>
          <w:bCs/>
          <w:color w:val="auto"/>
          <w:szCs w:val="24"/>
          <w:highlight w:val="none"/>
          <w:lang w:eastAsia="zh-CN"/>
        </w:rPr>
        <w:t xml:space="preserve">5</w:t>
      </w:r>
      <w:r>
        <w:rPr>
          <w:rFonts w:hint="eastAsia" w:ascii="宋体" w:hAnsi="宋体"/>
          <w:b/>
          <w:bCs/>
          <w:color w:val="auto"/>
          <w:szCs w:val="24"/>
          <w:highlight w:val="none"/>
          <w:lang w:eastAsia="zh-CN"/>
        </w:rPr>
        <w:t xml:space="preserve">分）：</w:t>
      </w:r>
      <w:r/>
    </w:p>
    <w:p>
      <w:pPr>
        <w:ind w:firstLine="480"/>
        <w:spacing w:line="44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根据投标供应商提供的质量保证措施方案（包括项目技术保障目标、项目技术保障范围、项目技术保障内容、项目技术保障资料等）进行综合评分：</w:t>
      </w:r>
      <w:r/>
    </w:p>
    <w:p>
      <w:pPr>
        <w:ind w:firstLine="480"/>
        <w:spacing w:line="44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项目质量目标明确，保证措施针对性强，有具体的实施措施，措施得力、切合实际</w:t>
      </w:r>
      <w:r>
        <w:rPr>
          <w:rFonts w:hint="eastAsia" w:ascii="宋体" w:hAnsi="宋体" w:cs="宋体"/>
          <w:color w:val="auto"/>
          <w:szCs w:val="24"/>
          <w:highlight w:val="none"/>
          <w:lang w:eastAsia="zh-CN"/>
        </w:rPr>
        <w:t xml:space="preserve">的得</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分；</w:t>
      </w:r>
      <w:r/>
    </w:p>
    <w:p>
      <w:pPr>
        <w:ind w:firstLine="480"/>
        <w:spacing w:line="44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项目质量目标较明确，保证措施针对性较强，提供实施措施，措施得力、切合实际性较差的得2分；</w:t>
      </w:r>
      <w:r/>
    </w:p>
    <w:p>
      <w:pPr>
        <w:ind w:firstLine="480"/>
        <w:spacing w:line="44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质量目标不明确，保障措施简单的，得1分；</w:t>
      </w:r>
      <w:r/>
    </w:p>
    <w:p>
      <w:pPr>
        <w:ind w:firstLine="480"/>
        <w:spacing w:line="440" w:lineRule="exact"/>
        <w:widowControl w:val="off"/>
        <w:rPr>
          <w:rFonts w:ascii="宋体" w:hAnsi="宋体" w:cs="宋体"/>
          <w:b/>
          <w:color w:val="auto"/>
          <w:highlight w:val="none"/>
          <w:lang w:eastAsia="zh-CN"/>
        </w:rPr>
      </w:pPr>
      <w:r>
        <w:rPr>
          <w:rFonts w:hint="eastAsia" w:ascii="宋体" w:hAnsi="宋体" w:cs="宋体"/>
          <w:color w:val="auto"/>
          <w:szCs w:val="24"/>
          <w:highlight w:val="none"/>
          <w:lang w:eastAsia="zh-CN"/>
        </w:rPr>
        <w:t xml:space="preserve">未提供措施方案的不得分；</w:t>
      </w:r>
      <w:r/>
    </w:p>
    <w:p>
      <w:pPr>
        <w:ind w:firstLine="420"/>
        <w:spacing w:line="440" w:lineRule="exact"/>
        <w:widowControl w:val="off"/>
        <w:rPr>
          <w:rFonts w:ascii="宋体" w:hAnsi="宋体"/>
          <w:b/>
          <w:bCs/>
          <w:color w:val="auto"/>
          <w:szCs w:val="24"/>
          <w:highlight w:val="none"/>
          <w:lang w:eastAsia="zh-CN"/>
        </w:rPr>
      </w:pPr>
      <w:r>
        <w:rPr>
          <w:rFonts w:hint="eastAsia" w:ascii="宋体" w:hAnsi="宋体" w:cs="宋体"/>
          <w:b/>
          <w:color w:val="auto"/>
          <w:highlight w:val="none"/>
          <w:lang w:eastAsia="zh-CN"/>
        </w:rPr>
        <w:t xml:space="preserve">(</w:t>
      </w:r>
      <w:r>
        <w:rPr>
          <w:rFonts w:ascii="宋体" w:hAnsi="宋体" w:cs="宋体"/>
          <w:b/>
          <w:color w:val="auto"/>
          <w:highlight w:val="none"/>
          <w:lang w:eastAsia="zh-CN"/>
        </w:rPr>
        <w:t xml:space="preserve">3</w:t>
      </w:r>
      <w:r>
        <w:rPr>
          <w:rFonts w:hint="eastAsia" w:ascii="宋体" w:hAnsi="宋体" w:cs="宋体"/>
          <w:b/>
          <w:color w:val="auto"/>
          <w:highlight w:val="none"/>
          <w:lang w:eastAsia="zh-CN"/>
        </w:rPr>
        <w:t xml:space="preserve">)</w:t>
      </w:r>
      <w:r>
        <w:rPr>
          <w:rFonts w:hint="eastAsia" w:ascii="宋体" w:hAnsi="宋体" w:cs="宋体"/>
          <w:b/>
          <w:bCs/>
          <w:color w:val="auto"/>
          <w:highlight w:val="none"/>
          <w:lang w:eastAsia="zh-CN"/>
        </w:rPr>
        <w:t xml:space="preserve">培训</w:t>
      </w:r>
      <w:r>
        <w:rPr>
          <w:rFonts w:hint="eastAsia" w:ascii="宋体" w:hAnsi="宋体" w:cs="宋体"/>
          <w:b/>
          <w:bCs/>
          <w:color w:val="auto"/>
          <w:highlight w:val="none"/>
          <w:lang w:eastAsia="zh-CN"/>
        </w:rPr>
        <w:t xml:space="preserve">方案</w:t>
      </w:r>
      <w:r>
        <w:rPr>
          <w:rFonts w:hint="eastAsia" w:ascii="宋体" w:hAnsi="宋体"/>
          <w:b/>
          <w:bCs/>
          <w:color w:val="auto"/>
          <w:szCs w:val="24"/>
          <w:highlight w:val="none"/>
          <w:lang w:eastAsia="zh-CN"/>
        </w:rPr>
        <w:t xml:space="preserve">（</w:t>
      </w:r>
      <w:r>
        <w:rPr>
          <w:rFonts w:ascii="宋体" w:hAnsi="宋体"/>
          <w:b/>
          <w:bCs/>
          <w:color w:val="auto"/>
          <w:szCs w:val="24"/>
          <w:highlight w:val="none"/>
          <w:lang w:eastAsia="zh-CN"/>
        </w:rPr>
        <w:t xml:space="preserve">6</w:t>
      </w:r>
      <w:r>
        <w:rPr>
          <w:rFonts w:hint="eastAsia" w:ascii="宋体" w:hAnsi="宋体"/>
          <w:b/>
          <w:bCs/>
          <w:color w:val="auto"/>
          <w:szCs w:val="24"/>
          <w:highlight w:val="none"/>
          <w:lang w:eastAsia="zh-CN"/>
        </w:rPr>
        <w:t xml:space="preserve">分）</w:t>
      </w:r>
      <w:r>
        <w:rPr>
          <w:rFonts w:hint="eastAsia" w:ascii="宋体" w:hAnsi="宋体"/>
          <w:b/>
          <w:bCs/>
          <w:color w:val="auto"/>
          <w:szCs w:val="24"/>
          <w:highlight w:val="none"/>
          <w:lang w:eastAsia="zh-CN"/>
        </w:rPr>
        <w:t xml:space="preserve">：</w:t>
      </w:r>
      <w:r/>
    </w:p>
    <w:p>
      <w:pPr>
        <w:ind w:firstLine="480"/>
        <w:spacing w:line="440" w:lineRule="exact"/>
        <w:rPr>
          <w:rFonts w:ascii="宋体" w:hAnsi="宋体" w:cs="宋体"/>
          <w:color w:val="auto"/>
          <w:highlight w:val="none"/>
          <w:lang w:eastAsia="zh-CN"/>
        </w:rPr>
      </w:pPr>
      <w:r>
        <w:rPr>
          <w:rFonts w:hint="eastAsia" w:ascii="宋体" w:hAnsi="宋体" w:cs="宋体"/>
          <w:color w:val="auto"/>
          <w:highlight w:val="none"/>
          <w:lang w:eastAsia="zh-CN"/>
        </w:rPr>
        <w:t xml:space="preserve">根据投标供应商提供的项目培训方案（包含培训方式、地点、人数、时间、培训内容、培训实施等内容）进行综合评分：</w:t>
      </w:r>
      <w:r/>
    </w:p>
    <w:p>
      <w:pPr>
        <w:ind w:firstLine="480"/>
        <w:spacing w:line="440" w:lineRule="exact"/>
        <w:rPr>
          <w:rFonts w:ascii="宋体" w:hAnsi="宋体" w:cs="宋体"/>
          <w:color w:val="auto"/>
          <w:highlight w:val="none"/>
          <w:lang w:eastAsia="zh-CN"/>
        </w:rPr>
      </w:pPr>
      <w:r>
        <w:rPr>
          <w:rFonts w:hint="eastAsia" w:ascii="宋体" w:hAnsi="宋体" w:cs="宋体"/>
          <w:color w:val="auto"/>
          <w:highlight w:val="none"/>
          <w:lang w:eastAsia="zh-CN"/>
        </w:rPr>
        <w:t xml:space="preserve">培训方式设置合理，地点、人数、时间能够配合学校要求，培训内容全面、培训实施方案完善的</w:t>
      </w:r>
      <w:r>
        <w:rPr>
          <w:rFonts w:hint="eastAsia" w:ascii="宋体" w:hAnsi="宋体" w:cs="宋体"/>
          <w:color w:val="auto"/>
          <w:highlight w:val="none"/>
          <w:lang w:eastAsia="zh-CN"/>
        </w:rPr>
        <w:t xml:space="preserve">，得</w:t>
      </w:r>
      <w:r>
        <w:rPr>
          <w:rFonts w:ascii="宋体" w:hAnsi="宋体" w:cs="宋体"/>
          <w:color w:val="auto"/>
          <w:highlight w:val="none"/>
          <w:lang w:eastAsia="zh-CN"/>
        </w:rPr>
        <w:t xml:space="preserve">6</w:t>
      </w:r>
      <w:r>
        <w:rPr>
          <w:rFonts w:hint="eastAsia" w:ascii="宋体" w:hAnsi="宋体" w:cs="宋体"/>
          <w:color w:val="auto"/>
          <w:highlight w:val="none"/>
          <w:lang w:eastAsia="zh-CN"/>
        </w:rPr>
        <w:t xml:space="preserve">分；</w:t>
      </w:r>
      <w:r/>
    </w:p>
    <w:p>
      <w:pPr>
        <w:ind w:firstLine="480"/>
        <w:spacing w:line="440" w:lineRule="exact"/>
        <w:rPr>
          <w:rFonts w:ascii="宋体" w:hAnsi="宋体" w:cs="宋体"/>
          <w:color w:val="auto"/>
          <w:highlight w:val="none"/>
          <w:lang w:eastAsia="zh-CN"/>
        </w:rPr>
      </w:pPr>
      <w:r>
        <w:rPr>
          <w:rFonts w:hint="eastAsia" w:ascii="宋体" w:hAnsi="宋体" w:cs="宋体"/>
          <w:color w:val="auto"/>
          <w:highlight w:val="none"/>
          <w:lang w:eastAsia="zh-CN"/>
        </w:rPr>
        <w:t xml:space="preserve">培训方式设置较合理，地点、人数、时间能够基本配合学校要求，培训内容较全面、培训实施方案较完善</w:t>
      </w:r>
      <w:r>
        <w:rPr>
          <w:rFonts w:hint="eastAsia" w:ascii="宋体" w:hAnsi="宋体" w:cs="宋体"/>
          <w:color w:val="auto"/>
          <w:highlight w:val="none"/>
          <w:lang w:eastAsia="zh-CN"/>
        </w:rPr>
        <w:t xml:space="preserve">的，得</w:t>
      </w:r>
      <w:r>
        <w:rPr>
          <w:rFonts w:ascii="宋体" w:hAnsi="宋体" w:cs="宋体"/>
          <w:color w:val="auto"/>
          <w:highlight w:val="none"/>
          <w:lang w:eastAsia="zh-CN"/>
        </w:rPr>
        <w:t xml:space="preserve">3</w:t>
      </w:r>
      <w:r>
        <w:rPr>
          <w:rFonts w:hint="eastAsia" w:ascii="宋体" w:hAnsi="宋体" w:cs="宋体"/>
          <w:color w:val="auto"/>
          <w:highlight w:val="none"/>
          <w:lang w:eastAsia="zh-CN"/>
        </w:rPr>
        <w:t xml:space="preserve">分；</w:t>
      </w:r>
      <w:r/>
    </w:p>
    <w:p>
      <w:pPr>
        <w:ind w:firstLine="480"/>
        <w:spacing w:line="440" w:lineRule="exact"/>
        <w:rPr>
          <w:rFonts w:ascii="宋体" w:hAnsi="宋体" w:cs="宋体"/>
          <w:color w:val="auto"/>
          <w:highlight w:val="none"/>
          <w:lang w:eastAsia="zh-CN"/>
        </w:rPr>
      </w:pPr>
      <w:r>
        <w:rPr>
          <w:rFonts w:hint="eastAsia" w:ascii="宋体" w:hAnsi="宋体" w:cs="宋体"/>
          <w:color w:val="auto"/>
          <w:highlight w:val="none"/>
          <w:lang w:eastAsia="zh-CN"/>
        </w:rPr>
        <w:t xml:space="preserve">培训方式设置不够合理，地点、人数、时间不太能够配合学校要求，培训内容全面、培训实施方案不够完善的，得1分。</w:t>
      </w:r>
      <w:r/>
    </w:p>
    <w:p>
      <w:pPr>
        <w:ind w:firstLine="480"/>
        <w:spacing w:line="440" w:lineRule="exact"/>
        <w:widowControl w:val="off"/>
        <w:rPr>
          <w:rFonts w:ascii="宋体" w:hAnsi="宋体" w:cs="宋体"/>
          <w:b/>
          <w:color w:val="auto"/>
          <w:highlight w:val="none"/>
          <w:lang w:eastAsia="zh-CN"/>
        </w:rPr>
      </w:pPr>
      <w:r>
        <w:rPr>
          <w:rFonts w:hint="eastAsia" w:ascii="宋体" w:hAnsi="宋体" w:cs="宋体"/>
          <w:color w:val="auto"/>
          <w:highlight w:val="none"/>
          <w:lang w:eastAsia="zh-CN"/>
        </w:rPr>
        <w:t xml:space="preserve">未提供方案的不得分。</w:t>
      </w:r>
      <w:r/>
    </w:p>
    <w:p>
      <w:pPr>
        <w:ind w:firstLine="420"/>
        <w:spacing w:line="440" w:lineRule="exact"/>
        <w:widowControl w:val="off"/>
        <w:rPr>
          <w:rFonts w:ascii="宋体" w:hAnsi="宋体"/>
          <w:b/>
          <w:bCs/>
          <w:color w:val="auto"/>
          <w:szCs w:val="24"/>
          <w:highlight w:val="none"/>
          <w:lang w:eastAsia="zh-CN"/>
        </w:rPr>
      </w:pPr>
      <w:r>
        <w:rPr>
          <w:rFonts w:hint="eastAsia" w:ascii="宋体" w:hAnsi="宋体" w:cs="宋体"/>
          <w:b/>
          <w:color w:val="auto"/>
          <w:highlight w:val="none"/>
          <w:lang w:eastAsia="zh-CN"/>
        </w:rPr>
        <w:t xml:space="preserve">(</w:t>
      </w:r>
      <w:r>
        <w:rPr>
          <w:rFonts w:ascii="宋体" w:hAnsi="宋体" w:cs="宋体"/>
          <w:b/>
          <w:color w:val="auto"/>
          <w:highlight w:val="none"/>
          <w:lang w:eastAsia="zh-CN"/>
        </w:rPr>
        <w:t xml:space="preserve">4</w:t>
      </w:r>
      <w:r>
        <w:rPr>
          <w:rFonts w:hint="eastAsia" w:ascii="宋体" w:hAnsi="宋体" w:cs="宋体"/>
          <w:b/>
          <w:color w:val="auto"/>
          <w:highlight w:val="none"/>
          <w:lang w:eastAsia="zh-CN"/>
        </w:rPr>
        <w:t xml:space="preserve">)</w:t>
      </w:r>
      <w:r>
        <w:rPr>
          <w:rFonts w:hint="eastAsia" w:ascii="宋体" w:hAnsi="宋体" w:cs="宋体"/>
          <w:b/>
          <w:bCs/>
          <w:color w:val="auto"/>
          <w:highlight w:val="none"/>
          <w:lang w:eastAsia="zh-CN"/>
        </w:rPr>
        <w:t xml:space="preserve">售后服</w:t>
      </w:r>
      <w:r>
        <w:rPr>
          <w:rFonts w:hint="eastAsia" w:ascii="宋体" w:hAnsi="宋体" w:cs="宋体"/>
          <w:b/>
          <w:bCs/>
          <w:color w:val="auto"/>
          <w:highlight w:val="none"/>
          <w:lang w:eastAsia="zh-CN"/>
        </w:rPr>
        <w:t xml:space="preserve">务</w:t>
      </w:r>
      <w:r>
        <w:rPr>
          <w:rFonts w:hint="eastAsia" w:ascii="宋体" w:hAnsi="宋体"/>
          <w:b/>
          <w:bCs/>
          <w:color w:val="auto"/>
          <w:szCs w:val="24"/>
          <w:highlight w:val="none"/>
          <w:lang w:eastAsia="zh-CN"/>
        </w:rPr>
        <w:t xml:space="preserve">（</w:t>
      </w:r>
      <w:r>
        <w:rPr>
          <w:rFonts w:ascii="宋体" w:hAnsi="宋体"/>
          <w:b/>
          <w:bCs/>
          <w:color w:val="auto"/>
          <w:szCs w:val="24"/>
          <w:highlight w:val="none"/>
          <w:lang w:eastAsia="zh-CN"/>
        </w:rPr>
        <w:t xml:space="preserve">5</w:t>
      </w:r>
      <w:r>
        <w:rPr>
          <w:rFonts w:hint="eastAsia" w:ascii="宋体" w:hAnsi="宋体"/>
          <w:b/>
          <w:bCs/>
          <w:color w:val="auto"/>
          <w:szCs w:val="24"/>
          <w:highlight w:val="none"/>
          <w:lang w:eastAsia="zh-CN"/>
        </w:rPr>
        <w:t xml:space="preserve">分）</w:t>
      </w:r>
      <w:r>
        <w:rPr>
          <w:rFonts w:hint="eastAsia" w:ascii="宋体" w:hAnsi="宋体"/>
          <w:b/>
          <w:bCs/>
          <w:color w:val="auto"/>
          <w:szCs w:val="24"/>
          <w:highlight w:val="none"/>
          <w:lang w:eastAsia="zh-CN"/>
        </w:rPr>
        <w:t xml:space="preserve">：</w:t>
      </w:r>
      <w:r/>
    </w:p>
    <w:p>
      <w:pPr>
        <w:ind w:firstLine="480"/>
        <w:spacing w:line="440" w:lineRule="exact"/>
        <w:rPr>
          <w:rFonts w:ascii="宋体" w:hAnsi="宋体" w:cs="宋体"/>
          <w:color w:val="auto"/>
          <w:highlight w:val="none"/>
          <w:lang w:eastAsia="zh-CN"/>
        </w:rPr>
      </w:pPr>
      <w:r>
        <w:rPr>
          <w:rFonts w:hint="eastAsia" w:ascii="宋体" w:hAnsi="宋体" w:cs="宋体"/>
          <w:color w:val="auto"/>
          <w:highlight w:val="none"/>
          <w:lang w:eastAsia="zh-CN"/>
        </w:rPr>
        <w:t xml:space="preserve">根据供应商提供的售后服务方案（如服务体系、服务内容、故障解决方案、故障响应、专业技术人员保障等）综合评分：</w:t>
      </w:r>
      <w:r/>
    </w:p>
    <w:p>
      <w:pPr>
        <w:ind w:firstLine="480"/>
        <w:spacing w:line="440" w:lineRule="exact"/>
        <w:rPr>
          <w:rFonts w:ascii="宋体" w:hAnsi="宋体" w:cs="宋体"/>
          <w:color w:val="auto"/>
          <w:highlight w:val="none"/>
          <w:lang w:eastAsia="zh-CN"/>
        </w:rPr>
      </w:pPr>
      <w:r>
        <w:rPr>
          <w:rFonts w:hint="eastAsia" w:ascii="宋体" w:hAnsi="宋体" w:cs="宋体"/>
          <w:color w:val="auto"/>
          <w:highlight w:val="none"/>
          <w:lang w:eastAsia="zh-CN"/>
        </w:rPr>
        <w:t xml:space="preserve">服务体系健全，服务内容满足采购人实际需求，解决方案切实有效，故障响应迅速，技术人员专业</w:t>
      </w:r>
      <w:r>
        <w:rPr>
          <w:rFonts w:hint="eastAsia" w:ascii="宋体" w:hAnsi="宋体" w:cs="宋体"/>
          <w:color w:val="auto"/>
          <w:highlight w:val="none"/>
          <w:lang w:eastAsia="zh-CN"/>
        </w:rPr>
        <w:t xml:space="preserve">性强的得</w:t>
      </w:r>
      <w:r>
        <w:rPr>
          <w:rFonts w:ascii="宋体" w:hAnsi="宋体" w:cs="宋体"/>
          <w:color w:val="auto"/>
          <w:highlight w:val="none"/>
          <w:lang w:eastAsia="zh-CN"/>
        </w:rPr>
        <w:t xml:space="preserve">5</w:t>
      </w:r>
      <w:r>
        <w:rPr>
          <w:rFonts w:hint="eastAsia" w:ascii="宋体" w:hAnsi="宋体" w:cs="宋体"/>
          <w:color w:val="auto"/>
          <w:highlight w:val="none"/>
          <w:lang w:eastAsia="zh-CN"/>
        </w:rPr>
        <w:t xml:space="preserve">分；</w:t>
      </w:r>
      <w:r/>
    </w:p>
    <w:p>
      <w:pPr>
        <w:ind w:firstLine="480"/>
        <w:spacing w:line="440" w:lineRule="exact"/>
        <w:rPr>
          <w:rFonts w:ascii="宋体" w:hAnsi="宋体" w:cs="宋体"/>
          <w:color w:val="auto"/>
          <w:highlight w:val="none"/>
          <w:lang w:eastAsia="zh-CN"/>
        </w:rPr>
      </w:pPr>
      <w:r>
        <w:rPr>
          <w:rFonts w:hint="eastAsia" w:ascii="宋体" w:hAnsi="宋体" w:cs="宋体"/>
          <w:color w:val="auto"/>
          <w:highlight w:val="none"/>
          <w:lang w:eastAsia="zh-CN"/>
        </w:rPr>
        <w:t xml:space="preserve">服务体系健全，服务内容基本满足采购人实际需求，解决方案比较合理有效，故障响应较快，技术人员专业性</w:t>
      </w:r>
      <w:r>
        <w:rPr>
          <w:rFonts w:hint="eastAsia" w:ascii="宋体" w:hAnsi="宋体" w:cs="宋体"/>
          <w:color w:val="auto"/>
          <w:highlight w:val="none"/>
          <w:lang w:eastAsia="zh-CN"/>
        </w:rPr>
        <w:t xml:space="preserve">较强的得</w:t>
      </w:r>
      <w:r>
        <w:rPr>
          <w:rFonts w:ascii="宋体" w:hAnsi="宋体" w:cs="宋体"/>
          <w:color w:val="auto"/>
          <w:highlight w:val="none"/>
          <w:lang w:eastAsia="zh-CN"/>
        </w:rPr>
        <w:t xml:space="preserve">2</w:t>
      </w:r>
      <w:r>
        <w:rPr>
          <w:rFonts w:hint="eastAsia" w:ascii="宋体" w:hAnsi="宋体" w:cs="宋体"/>
          <w:color w:val="auto"/>
          <w:highlight w:val="none"/>
          <w:lang w:eastAsia="zh-CN"/>
        </w:rPr>
        <w:t xml:space="preserve">分；</w:t>
      </w:r>
      <w:r/>
    </w:p>
    <w:p>
      <w:pPr>
        <w:ind w:firstLine="480"/>
        <w:spacing w:line="440" w:lineRule="exact"/>
        <w:rPr>
          <w:rFonts w:ascii="宋体" w:hAnsi="宋体" w:cs="宋体"/>
          <w:color w:val="auto"/>
          <w:highlight w:val="none"/>
          <w:lang w:eastAsia="zh-CN"/>
        </w:rPr>
      </w:pPr>
      <w:r>
        <w:rPr>
          <w:rFonts w:hint="eastAsia" w:ascii="宋体" w:hAnsi="宋体" w:cs="宋体"/>
          <w:color w:val="auto"/>
          <w:highlight w:val="none"/>
          <w:lang w:eastAsia="zh-CN"/>
        </w:rPr>
        <w:t xml:space="preserve">服务体系不够健全，服务内容与采购人实际需求不够匹配，解决方案不够有效，故障响应缓慢，技术人员专业性较弱的得1分。</w:t>
      </w:r>
      <w:r/>
    </w:p>
    <w:p>
      <w:pPr>
        <w:ind w:firstLine="480"/>
        <w:spacing w:line="440" w:lineRule="exact"/>
        <w:widowControl w:val="off"/>
        <w:rPr>
          <w:rFonts w:ascii="宋体" w:hAnsi="宋体" w:cs="宋体"/>
          <w:b/>
          <w:color w:val="auto"/>
          <w:highlight w:val="none"/>
          <w:lang w:eastAsia="zh-CN"/>
        </w:rPr>
      </w:pPr>
      <w:r>
        <w:rPr>
          <w:rFonts w:hint="eastAsia" w:ascii="宋体" w:hAnsi="宋体" w:cs="宋体"/>
          <w:color w:val="auto"/>
          <w:highlight w:val="none"/>
          <w:lang w:eastAsia="zh-CN"/>
        </w:rPr>
        <w:t xml:space="preserve">未提供方案的不得分。</w:t>
      </w:r>
      <w:r/>
    </w:p>
    <w:p>
      <w:pPr>
        <w:ind w:firstLine="482"/>
        <w:spacing w:line="440" w:lineRule="exact"/>
        <w:widowControl w:val="off"/>
        <w:rPr>
          <w:rFonts w:asciiTheme="majorHAnsi" w:hAnsiTheme="majorHAnsi" w:cstheme="majorBidi"/>
          <w:b/>
          <w:bCs/>
          <w:color w:val="auto"/>
          <w:sz w:val="32"/>
          <w:szCs w:val="32"/>
          <w:highlight w:val="none"/>
          <w:lang w:eastAsia="zh-CN"/>
        </w:rPr>
      </w:pPr>
      <w:r>
        <w:rPr>
          <w:rFonts w:hint="eastAsia" w:ascii="宋体" w:hAnsi="宋体"/>
          <w:b/>
          <w:color w:val="auto"/>
          <w:szCs w:val="24"/>
          <w:highlight w:val="none"/>
          <w:lang w:eastAsia="zh-CN"/>
        </w:rPr>
        <w:t xml:space="preserve">技术方案评委在5人及5人以上的，取所有成员的平均值。评分办法及评分细则的解释权属于采购人。未列入本评分细则的其他条件不作为评分内容。</w:t>
      </w:r>
      <w:bookmarkEnd w:id="23"/>
      <w:r/>
      <w:bookmarkEnd w:id="24"/>
      <w:r/>
      <w:bookmarkEnd w:id="27"/>
      <w:r/>
      <w:bookmarkStart w:id="28" w:name="_Toc161316670"/>
      <w:r/>
      <w:bookmarkStart w:id="29" w:name="_Toc101981935"/>
      <w:r>
        <w:rPr>
          <w:color w:val="auto"/>
          <w:highlight w:val="none"/>
          <w:lang w:eastAsia="zh-CN"/>
        </w:rPr>
        <w:br w:type="page" w:clear="all"/>
      </w:r>
      <w:r/>
    </w:p>
    <w:p>
      <w:pPr>
        <w:pStyle w:val="906"/>
        <w:rPr>
          <w:color w:val="auto"/>
          <w:highlight w:val="none"/>
          <w:lang w:eastAsia="zh-CN"/>
        </w:rPr>
      </w:pPr>
      <w:r>
        <w:rPr>
          <w:rFonts w:hint="eastAsia"/>
          <w:color w:val="auto"/>
          <w:highlight w:val="none"/>
          <w:lang w:eastAsia="zh-CN"/>
        </w:rPr>
        <w:t xml:space="preserve">附件二：投标文件格式</w:t>
      </w:r>
      <w:bookmarkEnd w:id="28"/>
      <w:r/>
      <w:bookmarkEnd w:id="29"/>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center"/>
        <w:spacing w:line="240" w:lineRule="auto"/>
        <w:widowControl w:val="off"/>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color w:val="auto"/>
          <w:sz w:val="28"/>
          <w:highlight w:val="none"/>
          <w:lang w:eastAsia="zh-CN"/>
        </w:rPr>
      </w:pPr>
      <w:r>
        <w:rPr>
          <w:rFonts w:ascii="宋体" w:hAnsi="宋体" w:eastAsia="等线" w:cs="宋体"/>
          <w:b/>
          <w:color w:val="auto"/>
          <w:sz w:val="28"/>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bCs/>
          <w:color w:val="auto"/>
          <w:sz w:val="30"/>
          <w:szCs w:val="30"/>
          <w:highlight w:val="none"/>
          <w:u w:val="single"/>
          <w:lang w:eastAsia="zh-CN"/>
        </w:rPr>
      </w:pPr>
      <w:r>
        <w:rPr>
          <w:rFonts w:ascii="宋体" w:hAnsi="宋体" w:eastAsia="等线" w:cs="宋体"/>
          <w:b/>
          <w:bCs/>
          <w:color w:val="auto"/>
          <w:sz w:val="30"/>
          <w:szCs w:val="30"/>
          <w:highlight w:val="none"/>
          <w:u w:val="single"/>
          <w:lang w:eastAsia="zh-CN"/>
        </w:rPr>
      </w:r>
      <w:r/>
    </w:p>
    <w:p>
      <w:pPr>
        <w:ind w:firstLine="0"/>
        <w:jc w:val="both"/>
        <w:spacing w:line="240" w:lineRule="auto"/>
        <w:widowControl w:val="off"/>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spacing w:line="240" w:lineRule="auto"/>
        <w:rPr>
          <w:rFonts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致：无锡学院</w:t>
      </w:r>
      <w:r/>
    </w:p>
    <w:p>
      <w:pPr>
        <w:ind w:firstLine="480"/>
        <w:jc w:val="both"/>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二、我们愿意提供江苏智汇锡建工程项目管理有限公司在招标文件中要求的文件、资料。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三、我们同意按照招标文件中的规定，本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30" w:name="（报价人）法定代表人授权书（格式）"/>
      <w:r/>
      <w:bookmarkEnd w:id="30"/>
      <w:r/>
      <w:bookmarkStart w:id="31" w:name="校园网系统报价和服务承诺表（格式）"/>
      <w:r/>
      <w:bookmarkEnd w:id="31"/>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widowControl w:val="off"/>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无锡学院 ：</w:t>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spacing w:line="240" w:lineRule="auto"/>
        <w:widowControl w:val="off"/>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center"/>
        <w:widowControl w:val="off"/>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江苏智汇锡建工程项目管理有限公司：  </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2"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1" o:spid="_x0000_s1"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3"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2" o:spid="_x0000_s2"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spacing w:line="240" w:lineRule="auto"/>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4"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5"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无锡学院</w:t>
      </w:r>
      <w:r/>
    </w:p>
    <w:p>
      <w:pPr>
        <w:ind w:firstLine="48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spacing w:line="240" w:lineRule="auto"/>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w:t>
      </w:r>
      <w:r>
        <w:rPr>
          <w:rFonts w:hint="eastAsia" w:ascii="宋体" w:hAnsi="宋体" w:cs="宋体"/>
          <w:color w:val="auto"/>
          <w:szCs w:val="24"/>
          <w:highlight w:val="none"/>
          <w:lang w:eastAsia="zh-CN"/>
        </w:rPr>
        <w:t xml:space="preserve">中华人民共和国政府采购法</w:t>
      </w:r>
      <w:r>
        <w:rPr>
          <w:rFonts w:hint="eastAsia" w:ascii="宋体" w:hAnsi="宋体" w:cs="宋体"/>
          <w:color w:val="auto"/>
          <w:szCs w:val="24"/>
          <w:highlight w:val="none"/>
          <w:lang w:eastAsia="zh-CN"/>
        </w:rPr>
        <w:t xml:space="preserve">》等相关规定以及相关廉洁要求，特向贵单位承诺如下事项：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960" w:firstLine="0"/>
        <w:jc w:val="center"/>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910"/>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无锡学院先进制造实验室建设项目</w:t>
            </w:r>
            <w:r/>
          </w:p>
        </w:tc>
      </w:tr>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71"/>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供货期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r>
      <w:tr>
        <w:trPr>
          <w:cantSplit/>
          <w:trHeight w:val="9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项目最终验收合格之日起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年 </w:t>
            </w:r>
            <w:r/>
          </w:p>
        </w:tc>
      </w:tr>
    </w:tbl>
    <w:p>
      <w:pPr>
        <w:ind w:firstLine="0"/>
        <w:jc w:val="both"/>
        <w:spacing w:before="240"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spacing w:line="240" w:lineRule="auto"/>
        <w:rPr>
          <w:rFonts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bookmarkStart w:id="32" w:name="_Hlk104971923"/>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 xml:space="preserve">明细</w:t>
      </w:r>
      <w:r>
        <w:rPr>
          <w:rFonts w:ascii="Times New Roman" w:hAnsi="Times New Roman" w:cs="Times New Roman"/>
          <w:b/>
          <w:color w:val="auto"/>
          <w:sz w:val="36"/>
          <w:szCs w:val="20"/>
          <w:highlight w:val="none"/>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 xml:space="preserve">供应商</w:t>
      </w:r>
      <w:r>
        <w:rPr>
          <w:rFonts w:ascii="宋体" w:hAnsi="宋体" w:cs="宋体"/>
          <w:color w:val="auto"/>
          <w:szCs w:val="24"/>
          <w:highlight w:val="none"/>
          <w:lang w:eastAsia="zh-CN"/>
        </w:rPr>
        <w:t xml:space="preserve">名称</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盖章</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 xml:space="preserve">：</w:t>
      </w:r>
      <w:r/>
    </w:p>
    <w:tbl>
      <w:tblPr>
        <w:tblStyle w:val="910"/>
        <w:tblpPr w:horzAnchor="page" w:tblpX="695" w:vertAnchor="text" w:tblpY="380" w:leftFromText="180" w:topFromText="0" w:rightFromText="180" w:bottomFromText="0"/>
        <w:tblW w:w="10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2"/>
        <w:gridCol w:w="929"/>
        <w:gridCol w:w="1249"/>
        <w:gridCol w:w="1569"/>
        <w:gridCol w:w="798"/>
        <w:gridCol w:w="770"/>
        <w:gridCol w:w="697"/>
        <w:gridCol w:w="1191"/>
        <w:gridCol w:w="1307"/>
        <w:gridCol w:w="1412"/>
      </w:tblGrid>
      <w:tr>
        <w:trPr>
          <w:cantSplit/>
          <w:trHeight w:val="764"/>
        </w:trPr>
        <w:tc>
          <w:tcPr>
            <w:tcMar>
              <w:left w:w="15" w:type="dxa"/>
              <w:top w:w="15" w:type="dxa"/>
              <w:right w:w="15" w:type="dxa"/>
              <w:bottom w:w="0" w:type="dxa"/>
            </w:tcMar>
            <w:tcW w:w="712"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序号</w:t>
            </w:r>
            <w:r/>
          </w:p>
        </w:tc>
        <w:tc>
          <w:tcPr>
            <w:tcMar>
              <w:left w:w="15" w:type="dxa"/>
              <w:top w:w="15" w:type="dxa"/>
              <w:right w:w="15" w:type="dxa"/>
              <w:bottom w:w="0" w:type="dxa"/>
            </w:tcMar>
            <w:tcW w:w="929"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名称</w:t>
            </w:r>
            <w:r/>
          </w:p>
        </w:tc>
        <w:tc>
          <w:tcPr>
            <w:tcMar>
              <w:left w:w="15" w:type="dxa"/>
              <w:top w:w="15" w:type="dxa"/>
              <w:right w:w="15" w:type="dxa"/>
              <w:bottom w:w="0" w:type="dxa"/>
            </w:tcMar>
            <w:tcW w:w="1249"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品牌型号</w:t>
            </w:r>
            <w:r/>
          </w:p>
        </w:tc>
        <w:tc>
          <w:tcPr>
            <w:tcMar>
              <w:left w:w="15" w:type="dxa"/>
              <w:top w:w="15" w:type="dxa"/>
              <w:right w:w="15" w:type="dxa"/>
              <w:bottom w:w="0" w:type="dxa"/>
            </w:tcMar>
            <w:tcW w:w="1569"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性能指标</w:t>
            </w:r>
            <w:r/>
          </w:p>
        </w:tc>
        <w:tc>
          <w:tcPr>
            <w:tcMar>
              <w:left w:w="15" w:type="dxa"/>
              <w:top w:w="15" w:type="dxa"/>
              <w:right w:w="15" w:type="dxa"/>
              <w:bottom w:w="0" w:type="dxa"/>
            </w:tcMar>
            <w:tcW w:w="798" w:type="dxa"/>
            <w:vAlign w:val="center"/>
            <w:textDirection w:val="lrTb"/>
            <w:noWrap w:val="false"/>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数量</w:t>
            </w:r>
            <w:r/>
          </w:p>
        </w:tc>
        <w:tc>
          <w:tcPr>
            <w:tcMar>
              <w:left w:w="15" w:type="dxa"/>
              <w:top w:w="15" w:type="dxa"/>
              <w:right w:w="15" w:type="dxa"/>
              <w:bottom w:w="0" w:type="dxa"/>
            </w:tcMar>
            <w:tcW w:w="770"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单位</w:t>
            </w:r>
            <w:r/>
          </w:p>
        </w:tc>
        <w:tc>
          <w:tcPr>
            <w:tcMar>
              <w:left w:w="15" w:type="dxa"/>
              <w:top w:w="15" w:type="dxa"/>
              <w:right w:w="15" w:type="dxa"/>
              <w:bottom w:w="0" w:type="dxa"/>
            </w:tcMar>
            <w:tcW w:w="697"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产地</w:t>
            </w:r>
            <w:r/>
          </w:p>
        </w:tc>
        <w:tc>
          <w:tcPr>
            <w:tcW w:w="1191" w:type="dxa"/>
            <w:vAlign w:val="center"/>
            <w:textDirection w:val="lrTb"/>
            <w:noWrap w:val="false"/>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免费质保期</w:t>
            </w:r>
            <w:r/>
          </w:p>
        </w:tc>
        <w:tc>
          <w:tcPr>
            <w:tcW w:w="1307" w:type="dxa"/>
            <w:vAlign w:val="center"/>
            <w:textDirection w:val="lrTb"/>
            <w:noWrap w:val="false"/>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单报价（元）</w:t>
            </w:r>
            <w:r/>
          </w:p>
        </w:tc>
        <w:tc>
          <w:tcPr>
            <w:tcW w:w="1412" w:type="dxa"/>
            <w:vAlign w:val="center"/>
            <w:textDirection w:val="lrTb"/>
            <w:noWrap w:val="false"/>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分项总报价（元）</w:t>
            </w:r>
            <w:r/>
          </w:p>
        </w:tc>
      </w:tr>
      <w:tr>
        <w:trPr>
          <w:cantSplit/>
          <w:trHeight w:val="670"/>
        </w:trPr>
        <w:tc>
          <w:tcPr>
            <w:tcMar>
              <w:left w:w="15" w:type="dxa"/>
              <w:top w:w="15" w:type="dxa"/>
              <w:right w:w="15" w:type="dxa"/>
              <w:bottom w:w="0" w:type="dxa"/>
            </w:tcMar>
            <w:tcW w:w="712" w:type="dxa"/>
            <w:vAlign w:val="center"/>
            <w:textDirection w:val="lrTb"/>
            <w:noWrap/>
          </w:tcPr>
          <w:p>
            <w:pPr>
              <w:pStyle w:val="945"/>
              <w:spacing w:before="5"/>
              <w:tabs>
                <w:tab w:val="clear" w:pos="4153" w:leader="none"/>
                <w:tab w:val="clear" w:pos="8306" w:leader="none"/>
              </w:tabs>
              <w:rPr>
                <w:rFonts w:ascii="宋体" w:hAnsi="宋体" w:eastAsia="宋体" w:cs="宋体"/>
                <w:color w:val="auto"/>
                <w:highlight w:val="none"/>
              </w:rPr>
              <w:pBdr>
                <w:bottom w:val="none" w:color="000000" w:sz="0" w:space="0"/>
              </w:pBdr>
            </w:pPr>
            <w:r>
              <w:rPr>
                <w:rFonts w:ascii="宋体" w:hAnsi="宋体" w:eastAsia="宋体" w:cs="宋体"/>
                <w:color w:val="auto"/>
                <w:highlight w:val="none"/>
              </w:rPr>
            </w:r>
            <w:r/>
          </w:p>
        </w:tc>
        <w:tc>
          <w:tcPr>
            <w:tcMar>
              <w:left w:w="15" w:type="dxa"/>
              <w:top w:w="15" w:type="dxa"/>
              <w:right w:w="15" w:type="dxa"/>
              <w:bottom w:w="0" w:type="dxa"/>
            </w:tcMar>
            <w:tcW w:w="929" w:type="dxa"/>
            <w:vAlign w:val="center"/>
            <w:textDirection w:val="lrTb"/>
            <w:noWrap/>
          </w:tcPr>
          <w:p>
            <w:pPr>
              <w:pStyle w:val="945"/>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249" w:type="dxa"/>
            <w:vAlign w:val="center"/>
            <w:textDirection w:val="lrTb"/>
            <w:noWrap w:val="false"/>
          </w:tcPr>
          <w:p>
            <w:pPr>
              <w:pStyle w:val="945"/>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569" w:type="dxa"/>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98" w:type="dxa"/>
            <w:vAlign w:val="center"/>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70" w:type="dxa"/>
            <w:vAlign w:val="center"/>
            <w:textDirection w:val="lrTb"/>
            <w:noWrap/>
          </w:tcPr>
          <w:p>
            <w:pPr>
              <w:ind w:firstLine="482"/>
              <w:jc w:val="center"/>
              <w:rPr>
                <w:rFonts w:ascii="宋体" w:hAnsi="宋体" w:cs="宋体"/>
                <w:b/>
                <w:bCs/>
                <w:color w:val="auto"/>
                <w:highlight w:val="none"/>
              </w:rPr>
            </w:pPr>
            <w:r>
              <w:rPr>
                <w:rFonts w:ascii="宋体" w:hAnsi="宋体" w:cs="宋体"/>
                <w:b/>
                <w:bCs/>
                <w:color w:val="auto"/>
                <w:highlight w:val="none"/>
              </w:rPr>
            </w:r>
            <w:r/>
          </w:p>
        </w:tc>
        <w:tc>
          <w:tcPr>
            <w:tcMar>
              <w:left w:w="15" w:type="dxa"/>
              <w:top w:w="15" w:type="dxa"/>
              <w:right w:w="15" w:type="dxa"/>
              <w:bottom w:w="0" w:type="dxa"/>
            </w:tcMar>
            <w:tcW w:w="697" w:type="dxa"/>
            <w:vAlign w:val="center"/>
            <w:textDirection w:val="lrTb"/>
            <w:noWrap/>
          </w:tcPr>
          <w:p>
            <w:pPr>
              <w:ind w:firstLine="482"/>
              <w:jc w:val="center"/>
              <w:rPr>
                <w:rFonts w:ascii="宋体" w:hAnsi="宋体" w:cs="宋体"/>
                <w:b/>
                <w:bCs/>
                <w:color w:val="auto"/>
                <w:highlight w:val="none"/>
              </w:rPr>
            </w:pPr>
            <w:r>
              <w:rPr>
                <w:rFonts w:ascii="宋体" w:hAnsi="宋体" w:cs="宋体"/>
                <w:b/>
                <w:bCs/>
                <w:color w:val="auto"/>
                <w:highlight w:val="none"/>
              </w:rPr>
            </w:r>
            <w:r/>
          </w:p>
        </w:tc>
        <w:tc>
          <w:tcPr>
            <w:tcW w:w="1191" w:type="dxa"/>
            <w:vAlign w:val="center"/>
            <w:textDirection w:val="lrTb"/>
            <w:noWrap w:val="false"/>
          </w:tcPr>
          <w:p>
            <w:pPr>
              <w:ind w:firstLine="482"/>
              <w:jc w:val="center"/>
              <w:rPr>
                <w:rFonts w:ascii="宋体" w:hAnsi="宋体" w:cs="宋体"/>
                <w:b/>
                <w:bCs/>
                <w:color w:val="auto"/>
                <w:highlight w:val="none"/>
              </w:rPr>
            </w:pPr>
            <w:r>
              <w:rPr>
                <w:rFonts w:ascii="宋体" w:hAnsi="宋体" w:cs="宋体"/>
                <w:b/>
                <w:bCs/>
                <w:color w:val="auto"/>
                <w:highlight w:val="none"/>
              </w:rPr>
            </w:r>
            <w:r/>
          </w:p>
        </w:tc>
        <w:tc>
          <w:tcPr>
            <w:tcW w:w="1307"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c>
          <w:tcPr>
            <w:tcW w:w="1412"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r>
      <w:tr>
        <w:trPr>
          <w:cantSplit/>
          <w:trHeight w:val="670"/>
        </w:trPr>
        <w:tc>
          <w:tcPr>
            <w:tcMar>
              <w:left w:w="15" w:type="dxa"/>
              <w:top w:w="15" w:type="dxa"/>
              <w:right w:w="15" w:type="dxa"/>
              <w:bottom w:w="0" w:type="dxa"/>
            </w:tcMar>
            <w:tcW w:w="712" w:type="dxa"/>
            <w:vAlign w:val="center"/>
            <w:textDirection w:val="lrTb"/>
            <w:noWrap/>
          </w:tcPr>
          <w:p>
            <w:pPr>
              <w:pStyle w:val="945"/>
              <w:spacing w:before="5"/>
              <w:tabs>
                <w:tab w:val="clear" w:pos="4153" w:leader="none"/>
                <w:tab w:val="clear" w:pos="8306" w:leader="none"/>
              </w:tabs>
              <w:rPr>
                <w:rFonts w:ascii="宋体" w:hAnsi="宋体" w:eastAsia="宋体" w:cs="宋体"/>
                <w:color w:val="auto"/>
                <w:highlight w:val="none"/>
              </w:rPr>
              <w:pBdr>
                <w:bottom w:val="none" w:color="000000" w:sz="0" w:space="0"/>
              </w:pBdr>
            </w:pPr>
            <w:r>
              <w:rPr>
                <w:rFonts w:ascii="宋体" w:hAnsi="宋体" w:eastAsia="宋体" w:cs="宋体"/>
                <w:color w:val="auto"/>
                <w:highlight w:val="none"/>
              </w:rPr>
            </w:r>
            <w:r/>
          </w:p>
        </w:tc>
        <w:tc>
          <w:tcPr>
            <w:tcMar>
              <w:left w:w="15" w:type="dxa"/>
              <w:top w:w="15" w:type="dxa"/>
              <w:right w:w="15" w:type="dxa"/>
              <w:bottom w:w="0" w:type="dxa"/>
            </w:tcMar>
            <w:tcW w:w="929" w:type="dxa"/>
            <w:vAlign w:val="center"/>
            <w:textDirection w:val="lrTb"/>
            <w:noWrap/>
          </w:tcPr>
          <w:p>
            <w:pPr>
              <w:pStyle w:val="945"/>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249" w:type="dxa"/>
            <w:vAlign w:val="center"/>
            <w:textDirection w:val="lrTb"/>
            <w:noWrap w:val="false"/>
          </w:tcPr>
          <w:p>
            <w:pPr>
              <w:pStyle w:val="945"/>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569" w:type="dxa"/>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98" w:type="dxa"/>
            <w:vAlign w:val="center"/>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70" w:type="dxa"/>
            <w:vAlign w:val="center"/>
            <w:textDirection w:val="lrTb"/>
            <w:noWrap/>
          </w:tcPr>
          <w:p>
            <w:pPr>
              <w:ind w:firstLine="482"/>
              <w:jc w:val="center"/>
              <w:rPr>
                <w:rFonts w:ascii="宋体" w:hAnsi="宋体" w:cs="宋体"/>
                <w:b/>
                <w:bCs/>
                <w:color w:val="auto"/>
                <w:highlight w:val="none"/>
              </w:rPr>
            </w:pPr>
            <w:r>
              <w:rPr>
                <w:rFonts w:ascii="宋体" w:hAnsi="宋体" w:cs="宋体"/>
                <w:b/>
                <w:bCs/>
                <w:color w:val="auto"/>
                <w:highlight w:val="none"/>
              </w:rPr>
            </w:r>
            <w:r/>
          </w:p>
        </w:tc>
        <w:tc>
          <w:tcPr>
            <w:tcMar>
              <w:left w:w="15" w:type="dxa"/>
              <w:top w:w="15" w:type="dxa"/>
              <w:right w:w="15" w:type="dxa"/>
              <w:bottom w:w="0" w:type="dxa"/>
            </w:tcMar>
            <w:tcW w:w="697" w:type="dxa"/>
            <w:vAlign w:val="center"/>
            <w:textDirection w:val="lrTb"/>
            <w:noWrap/>
          </w:tcPr>
          <w:p>
            <w:pPr>
              <w:ind w:firstLine="482"/>
              <w:jc w:val="center"/>
              <w:rPr>
                <w:rFonts w:ascii="宋体" w:hAnsi="宋体" w:cs="宋体"/>
                <w:b/>
                <w:bCs/>
                <w:color w:val="auto"/>
                <w:szCs w:val="24"/>
                <w:highlight w:val="none"/>
              </w:rPr>
            </w:pPr>
            <w:r>
              <w:rPr>
                <w:rFonts w:hint="eastAsia" w:ascii="宋体" w:hAnsi="宋体" w:cs="宋体"/>
                <w:b/>
                <w:bCs/>
                <w:color w:val="auto"/>
                <w:highlight w:val="none"/>
              </w:rPr>
              <w:t xml:space="preserve">　</w:t>
            </w:r>
            <w:r/>
          </w:p>
        </w:tc>
        <w:tc>
          <w:tcPr>
            <w:tcW w:w="1191" w:type="dxa"/>
            <w:vAlign w:val="center"/>
            <w:textDirection w:val="lrTb"/>
            <w:noWrap w:val="false"/>
          </w:tcPr>
          <w:p>
            <w:pPr>
              <w:ind w:firstLine="482"/>
              <w:jc w:val="center"/>
              <w:rPr>
                <w:rFonts w:ascii="宋体" w:hAnsi="宋体" w:cs="宋体"/>
                <w:b/>
                <w:bCs/>
                <w:color w:val="auto"/>
                <w:szCs w:val="24"/>
                <w:highlight w:val="none"/>
              </w:rPr>
            </w:pPr>
            <w:r>
              <w:rPr>
                <w:rFonts w:hint="eastAsia" w:ascii="宋体" w:hAnsi="宋体" w:cs="宋体"/>
                <w:b/>
                <w:bCs/>
                <w:color w:val="auto"/>
                <w:highlight w:val="none"/>
              </w:rPr>
              <w:t xml:space="preserve">　</w:t>
            </w:r>
            <w:r/>
          </w:p>
        </w:tc>
        <w:tc>
          <w:tcPr>
            <w:tcW w:w="1307"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c>
          <w:tcPr>
            <w:tcW w:w="1412"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r>
      <w:tr>
        <w:trPr>
          <w:cantSplit/>
          <w:trHeight w:val="620"/>
        </w:trPr>
        <w:tc>
          <w:tcPr>
            <w:tcMar>
              <w:left w:w="15" w:type="dxa"/>
              <w:top w:w="15" w:type="dxa"/>
              <w:right w:w="15" w:type="dxa"/>
              <w:bottom w:w="0" w:type="dxa"/>
            </w:tcMar>
            <w:tcW w:w="712" w:type="dxa"/>
            <w:vAlign w:val="center"/>
            <w:textDirection w:val="lrTb"/>
            <w:noWrap/>
          </w:tcPr>
          <w:p>
            <w:pPr>
              <w:ind w:firstLine="360"/>
              <w:jc w:val="center"/>
              <w:rPr>
                <w:rFonts w:ascii="宋体" w:hAnsi="宋体" w:cs="宋体"/>
                <w:color w:val="auto"/>
                <w:sz w:val="18"/>
                <w:highlight w:val="none"/>
              </w:rPr>
            </w:pPr>
            <w:r>
              <w:rPr>
                <w:rFonts w:ascii="宋体" w:hAnsi="宋体" w:cs="宋体"/>
                <w:color w:val="auto"/>
                <w:sz w:val="18"/>
                <w:highlight w:val="none"/>
              </w:rPr>
            </w:r>
            <w:r/>
          </w:p>
        </w:tc>
        <w:tc>
          <w:tcPr>
            <w:tcMar>
              <w:left w:w="15" w:type="dxa"/>
              <w:top w:w="15" w:type="dxa"/>
              <w:right w:w="15" w:type="dxa"/>
              <w:bottom w:w="0" w:type="dxa"/>
            </w:tcMar>
            <w:tcW w:w="929" w:type="dxa"/>
            <w:vAlign w:val="center"/>
            <w:textDirection w:val="lrTb"/>
            <w:noWrap/>
          </w:tcPr>
          <w:p>
            <w:pPr>
              <w:ind w:firstLine="480"/>
              <w:jc w:val="center"/>
              <w:rPr>
                <w:rFonts w:ascii="宋体" w:hAnsi="宋体" w:cs="宋体"/>
                <w:color w:val="auto"/>
                <w:highlight w:val="none"/>
              </w:rPr>
            </w:pPr>
            <w:r>
              <w:rPr>
                <w:rFonts w:ascii="宋体" w:hAnsi="宋体" w:cs="宋体"/>
                <w:color w:val="auto"/>
                <w:highlight w:val="none"/>
              </w:rPr>
            </w:r>
            <w:r/>
          </w:p>
        </w:tc>
        <w:tc>
          <w:tcPr>
            <w:tcMar>
              <w:left w:w="15" w:type="dxa"/>
              <w:top w:w="15" w:type="dxa"/>
              <w:right w:w="15" w:type="dxa"/>
              <w:bottom w:w="0" w:type="dxa"/>
            </w:tcMar>
            <w:tcW w:w="1249" w:type="dxa"/>
            <w:vAlign w:val="center"/>
            <w:textDirection w:val="lrTb"/>
            <w:noWrap w:val="false"/>
          </w:tcPr>
          <w:p>
            <w:pPr>
              <w:pStyle w:val="945"/>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569" w:type="dxa"/>
            <w:vAlign w:val="center"/>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98" w:type="dxa"/>
            <w:vAlign w:val="center"/>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70" w:type="dxa"/>
            <w:vAlign w:val="center"/>
            <w:textDirection w:val="lrTb"/>
            <w:noWrap/>
          </w:tcPr>
          <w:p>
            <w:pPr>
              <w:ind w:firstLine="482"/>
              <w:jc w:val="center"/>
              <w:rPr>
                <w:rFonts w:ascii="宋体" w:hAnsi="宋体" w:cs="宋体"/>
                <w:b/>
                <w:bCs/>
                <w:color w:val="auto"/>
                <w:highlight w:val="none"/>
              </w:rPr>
            </w:pPr>
            <w:r>
              <w:rPr>
                <w:rFonts w:ascii="宋体" w:hAnsi="宋体" w:cs="宋体"/>
                <w:b/>
                <w:bCs/>
                <w:color w:val="auto"/>
                <w:highlight w:val="none"/>
              </w:rPr>
            </w:r>
            <w:r/>
          </w:p>
        </w:tc>
        <w:tc>
          <w:tcPr>
            <w:tcMar>
              <w:left w:w="15" w:type="dxa"/>
              <w:top w:w="15" w:type="dxa"/>
              <w:right w:w="15" w:type="dxa"/>
              <w:bottom w:w="0" w:type="dxa"/>
            </w:tcMar>
            <w:tcW w:w="697" w:type="dxa"/>
            <w:vAlign w:val="center"/>
            <w:textDirection w:val="lrTb"/>
            <w:noWrap/>
          </w:tcPr>
          <w:p>
            <w:pPr>
              <w:ind w:firstLine="482"/>
              <w:jc w:val="center"/>
              <w:rPr>
                <w:rFonts w:ascii="宋体" w:hAnsi="宋体" w:cs="宋体"/>
                <w:b/>
                <w:bCs/>
                <w:color w:val="auto"/>
                <w:szCs w:val="24"/>
                <w:highlight w:val="none"/>
              </w:rPr>
            </w:pPr>
            <w:r>
              <w:rPr>
                <w:rFonts w:hint="eastAsia" w:ascii="宋体" w:hAnsi="宋体" w:cs="宋体"/>
                <w:b/>
                <w:bCs/>
                <w:color w:val="auto"/>
                <w:highlight w:val="none"/>
              </w:rPr>
              <w:t xml:space="preserve">　</w:t>
            </w:r>
            <w:r/>
          </w:p>
        </w:tc>
        <w:tc>
          <w:tcPr>
            <w:tcW w:w="1191" w:type="dxa"/>
            <w:vAlign w:val="center"/>
            <w:textDirection w:val="lrTb"/>
            <w:noWrap w:val="false"/>
          </w:tcPr>
          <w:p>
            <w:pPr>
              <w:ind w:firstLine="482"/>
              <w:jc w:val="center"/>
              <w:rPr>
                <w:rFonts w:ascii="宋体" w:hAnsi="宋体" w:cs="宋体"/>
                <w:b/>
                <w:bCs/>
                <w:color w:val="auto"/>
                <w:szCs w:val="24"/>
                <w:highlight w:val="none"/>
              </w:rPr>
            </w:pPr>
            <w:r>
              <w:rPr>
                <w:rFonts w:hint="eastAsia" w:ascii="宋体" w:hAnsi="宋体" w:cs="宋体"/>
                <w:b/>
                <w:bCs/>
                <w:color w:val="auto"/>
                <w:highlight w:val="none"/>
              </w:rPr>
              <w:t xml:space="preserve">　</w:t>
            </w:r>
            <w:r/>
          </w:p>
        </w:tc>
        <w:tc>
          <w:tcPr>
            <w:tcW w:w="1307"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c>
          <w:tcPr>
            <w:tcW w:w="1412"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r>
      <w:tr>
        <w:trPr>
          <w:cantSplit/>
          <w:trHeight w:val="691"/>
        </w:trPr>
        <w:tc>
          <w:tcPr>
            <w:gridSpan w:val="3"/>
            <w:tcMar>
              <w:left w:w="15" w:type="dxa"/>
              <w:top w:w="15" w:type="dxa"/>
              <w:right w:w="15" w:type="dxa"/>
              <w:bottom w:w="0" w:type="dxa"/>
            </w:tcMar>
            <w:tcW w:w="2890" w:type="dxa"/>
            <w:vAlign w:val="center"/>
            <w:textDirection w:val="lrTb"/>
            <w:noWrap/>
          </w:tcPr>
          <w:p>
            <w:pPr>
              <w:pStyle w:val="945"/>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合计（元）</w:t>
            </w:r>
            <w:r/>
          </w:p>
        </w:tc>
        <w:tc>
          <w:tcPr>
            <w:gridSpan w:val="7"/>
            <w:tcMar>
              <w:left w:w="15" w:type="dxa"/>
              <w:top w:w="15" w:type="dxa"/>
              <w:right w:w="15" w:type="dxa"/>
              <w:bottom w:w="0" w:type="dxa"/>
            </w:tcMar>
            <w:tcW w:w="7744" w:type="dxa"/>
            <w:vAlign w:val="center"/>
            <w:textDirection w:val="lrTb"/>
            <w:noWrap w:val="false"/>
          </w:tcPr>
          <w:p>
            <w:pPr>
              <w:ind w:firstLine="480"/>
              <w:jc w:val="center"/>
              <w:rPr>
                <w:rFonts w:ascii="宋体" w:hAnsi="宋体" w:cs="宋体"/>
                <w:bCs/>
                <w:color w:val="auto"/>
                <w:szCs w:val="24"/>
                <w:highlight w:val="none"/>
              </w:rPr>
            </w:pPr>
            <w:r>
              <w:rPr>
                <w:rFonts w:ascii="宋体" w:hAnsi="宋体" w:cs="宋体"/>
                <w:bCs/>
                <w:color w:val="auto"/>
                <w:szCs w:val="24"/>
                <w:highlight w:val="none"/>
              </w:rPr>
            </w:r>
            <w:r/>
          </w:p>
        </w:tc>
      </w:tr>
      <w:tr>
        <w:trPr>
          <w:cantSplit/>
          <w:trHeight w:val="691"/>
        </w:trPr>
        <w:tc>
          <w:tcPr>
            <w:gridSpan w:val="3"/>
            <w:tcMar>
              <w:left w:w="15" w:type="dxa"/>
              <w:top w:w="15" w:type="dxa"/>
              <w:right w:w="15" w:type="dxa"/>
              <w:bottom w:w="0" w:type="dxa"/>
            </w:tcMar>
            <w:tcW w:w="2890" w:type="dxa"/>
            <w:vAlign w:val="center"/>
            <w:textDirection w:val="lrTb"/>
            <w:noWrap/>
          </w:tcPr>
          <w:p>
            <w:pPr>
              <w:pStyle w:val="945"/>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交付周期</w:t>
            </w:r>
            <w:r/>
          </w:p>
        </w:tc>
        <w:tc>
          <w:tcPr>
            <w:gridSpan w:val="7"/>
            <w:tcMar>
              <w:left w:w="15" w:type="dxa"/>
              <w:top w:w="15" w:type="dxa"/>
              <w:right w:w="15" w:type="dxa"/>
              <w:bottom w:w="0" w:type="dxa"/>
            </w:tcMar>
            <w:tcW w:w="7744" w:type="dxa"/>
            <w:vAlign w:val="center"/>
            <w:textDirection w:val="lrTb"/>
            <w:noWrap w:val="false"/>
          </w:tcPr>
          <w:p>
            <w:pPr>
              <w:ind w:firstLine="480"/>
              <w:jc w:val="center"/>
              <w:rPr>
                <w:rFonts w:ascii="宋体" w:hAnsi="宋体" w:cs="宋体"/>
                <w:bCs/>
                <w:color w:val="auto"/>
                <w:szCs w:val="24"/>
                <w:highlight w:val="none"/>
                <w:u w:val="single"/>
                <w:lang w:eastAsia="zh-CN"/>
              </w:rPr>
            </w:pPr>
            <w:r>
              <w:rPr>
                <w:rFonts w:ascii="宋体" w:hAnsi="宋体" w:cs="宋体"/>
                <w:bCs/>
                <w:color w:val="auto"/>
                <w:szCs w:val="24"/>
                <w:highlight w:val="none"/>
                <w:u w:val="single"/>
                <w:lang w:eastAsia="zh-CN"/>
              </w:rPr>
            </w:r>
            <w:r/>
          </w:p>
        </w:tc>
      </w:tr>
      <w:tr>
        <w:trPr>
          <w:cantSplit/>
          <w:trHeight w:val="712"/>
        </w:trPr>
        <w:tc>
          <w:tcPr>
            <w:gridSpan w:val="3"/>
            <w:tcMar>
              <w:left w:w="15" w:type="dxa"/>
              <w:top w:w="15" w:type="dxa"/>
              <w:right w:w="15" w:type="dxa"/>
              <w:bottom w:w="0" w:type="dxa"/>
            </w:tcMar>
            <w:tcW w:w="2890" w:type="dxa"/>
            <w:vAlign w:val="center"/>
            <w:textDirection w:val="lrTb"/>
            <w:noWrap/>
          </w:tcPr>
          <w:p>
            <w:pPr>
              <w:pStyle w:val="945"/>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项目整体免费质保期</w:t>
            </w:r>
            <w:r/>
          </w:p>
        </w:tc>
        <w:tc>
          <w:tcPr>
            <w:gridSpan w:val="7"/>
            <w:tcMar>
              <w:left w:w="15" w:type="dxa"/>
              <w:top w:w="15" w:type="dxa"/>
              <w:right w:w="15" w:type="dxa"/>
              <w:bottom w:w="0" w:type="dxa"/>
            </w:tcMar>
            <w:tcW w:w="7744" w:type="dxa"/>
            <w:vAlign w:val="center"/>
            <w:textDirection w:val="lrTb"/>
            <w:noWrap w:val="false"/>
          </w:tcPr>
          <w:p>
            <w:pPr>
              <w:ind w:firstLine="480"/>
              <w:jc w:val="center"/>
              <w:rPr>
                <w:rFonts w:ascii="宋体" w:hAnsi="宋体" w:cs="宋体"/>
                <w:b/>
                <w:bCs/>
                <w:color w:val="auto"/>
                <w:szCs w:val="24"/>
                <w:highlight w:val="none"/>
                <w:lang w:eastAsia="zh-CN"/>
              </w:rPr>
            </w:pPr>
            <w:r>
              <w:rPr>
                <w:rFonts w:hint="eastAsia" w:ascii="宋体" w:hAnsi="宋体" w:cs="宋体"/>
                <w:color w:val="auto"/>
                <w:szCs w:val="28"/>
                <w:highlight w:val="none"/>
                <w:lang w:eastAsia="zh-CN"/>
              </w:rPr>
              <w:t xml:space="preserve">项目经最终验收合格之日起____年</w:t>
            </w:r>
            <w:r/>
          </w:p>
        </w:tc>
      </w:tr>
    </w:tbl>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（1）该报价包括满足本项目要求的所有产品及其配件、包装、运杂、安装调试及售后服务等从项目中标起到项目正式交付以及免费质保期内所发生的一切费用；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（2）投标供应商应当根据“</w:t>
      </w:r>
      <w:r>
        <w:rPr>
          <w:rFonts w:hint="eastAsia" w:ascii="Times New Roman" w:hAnsi="Times New Roman" w:cs="Times New Roman"/>
          <w:b/>
          <w:color w:val="auto"/>
          <w:szCs w:val="24"/>
          <w:highlight w:val="none"/>
          <w:lang w:eastAsia="zh-CN"/>
        </w:rPr>
        <w:t xml:space="preserve">三、采购需求和技术有关要求</w:t>
      </w:r>
      <w:r>
        <w:rPr>
          <w:rFonts w:hint="eastAsia" w:ascii="Times New Roman" w:hAnsi="Times New Roman" w:cs="Times New Roman"/>
          <w:bCs/>
          <w:color w:val="auto"/>
          <w:szCs w:val="24"/>
          <w:highlight w:val="none"/>
          <w:lang w:eastAsia="zh-CN"/>
        </w:rPr>
        <w:t xml:space="preserve">”的内容在上表中详细填写；</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（3）表格不够可自行延长，但不得改变文本格式。</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widowControl w:val="off"/>
        <w:rPr>
          <w:rFonts w:ascii="宋体" w:hAnsi="宋体" w:cs="宋体"/>
          <w:color w:val="auto"/>
          <w:sz w:val="21"/>
          <w:highlight w:val="none"/>
          <w:lang w:val="zh-CN" w:eastAsia="zh-CN"/>
        </w:rPr>
      </w:pPr>
      <w:r>
        <w:rPr>
          <w:rFonts w:ascii="宋体" w:hAnsi="宋体" w:cs="宋体"/>
          <w:color w:val="auto"/>
          <w:sz w:val="21"/>
          <w:highlight w:val="none"/>
          <w:lang w:val="zh-CN" w:eastAsia="zh-CN"/>
        </w:rPr>
      </w:r>
      <w:r/>
    </w:p>
    <w:p>
      <w:pPr>
        <w:ind w:firstLine="0"/>
        <w:jc w:val="both"/>
        <w:spacing w:before="5" w:line="240" w:lineRule="auto"/>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 xml:space="preserve">法定代表人或法定代表人授权代表签字或盖章：</w:t>
      </w:r>
      <w:r/>
    </w:p>
    <w:p>
      <w:pPr>
        <w:ind w:firstLine="0"/>
        <w:jc w:val="both"/>
        <w:widowControl w:val="off"/>
        <w:rPr>
          <w:rFonts w:ascii="Times New Roman" w:hAnsi="Times New Roman" w:cs="Times New Roman"/>
          <w:b/>
          <w:color w:val="auto"/>
          <w:sz w:val="18"/>
          <w:szCs w:val="18"/>
          <w:highlight w:val="none"/>
          <w:lang w:eastAsia="zh-CN"/>
        </w:rPr>
      </w:pPr>
      <w:r>
        <w:rPr>
          <w:rFonts w:ascii="Times New Roman" w:hAnsi="Times New Roman" w:cs="Times New Roman"/>
          <w:b/>
          <w:bCs/>
          <w:color w:val="auto"/>
          <w:szCs w:val="24"/>
          <w:highlight w:val="none"/>
          <w:lang w:eastAsia="zh-CN"/>
        </w:rPr>
        <w:t xml:space="preserve">日期：</w:t>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bookmarkEnd w:id="32"/>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numPr>
          <w:ilvl w:val="0"/>
          <w:numId w:val="8"/>
        </w:num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中小企业声明函（格式）：</w:t>
      </w:r>
      <w:r/>
    </w:p>
    <w:p>
      <w:pPr>
        <w:ind w:firstLine="0"/>
        <w:jc w:val="center"/>
        <w:widowControl w:val="off"/>
        <w:rPr>
          <w:rFonts w:ascii="Tahoma" w:hAnsi="Tahoma" w:cs="Times New Roman"/>
          <w:color w:val="auto"/>
          <w:szCs w:val="20"/>
          <w:highlight w:val="none"/>
          <w:lang w:eastAsia="zh-CN"/>
        </w:rPr>
      </w:pPr>
      <w:r/>
      <w:bookmarkStart w:id="33" w:name="_Hlk104972057"/>
      <w:r>
        <w:rPr>
          <w:rFonts w:hint="eastAsia" w:ascii="黑体" w:hAnsi="黑体" w:eastAsia="黑体" w:cs="Times New Roman"/>
          <w:bCs/>
          <w:color w:val="auto"/>
          <w:sz w:val="28"/>
          <w:szCs w:val="28"/>
          <w:highlight w:val="none"/>
          <w:lang w:eastAsia="zh-CN"/>
        </w:rPr>
        <w:t xml:space="preserve">中小企业声明函（货物）</w:t>
      </w:r>
      <w:r/>
    </w:p>
    <w:p>
      <w:pPr>
        <w:ind w:firstLine="480"/>
        <w:rPr>
          <w:rFonts w:ascii="宋体" w:hAnsi="宋体" w:cs="宋体"/>
          <w:color w:val="auto"/>
          <w:highlight w:val="none"/>
        </w:rPr>
      </w:pPr>
      <w:r>
        <w:rPr>
          <w:rFonts w:hint="eastAsia" w:ascii="宋体" w:hAnsi="宋体" w:cs="宋体"/>
          <w:color w:val="auto"/>
          <w:highlight w:val="none"/>
          <w:lang w:eastAsia="zh-CN" w:bidi="ar"/>
        </w:rPr>
        <w:t xml:space="preserve">本公司（联合体）郑重声明，根据《政府采购促进中小企业发展管理办法》（财库﹝2020﹞46 号）的规定，本公司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参加</w:t>
      </w:r>
      <w:r>
        <w:rPr>
          <w:rFonts w:hint="eastAsia" w:ascii="宋体" w:hAnsi="宋体" w:cs="宋体"/>
          <w:iCs/>
          <w:color w:val="auto"/>
          <w:highlight w:val="none"/>
          <w:u w:val="single"/>
          <w:lang w:eastAsia="zh-CN" w:bidi="ar"/>
        </w:rPr>
        <w:t xml:space="preserve">无锡学院</w:t>
      </w:r>
      <w:r>
        <w:rPr>
          <w:rFonts w:hint="eastAsia" w:ascii="宋体" w:hAnsi="宋体" w:cs="宋体"/>
          <w:color w:val="auto"/>
          <w:highlight w:val="none"/>
          <w:lang w:eastAsia="zh-CN" w:bidi="ar"/>
        </w:rPr>
        <w:t xml:space="preserve">的</w:t>
      </w:r>
      <w:r>
        <w:rPr>
          <w:rFonts w:hint="eastAsia" w:ascii="宋体" w:hAnsi="宋体" w:cs="宋体"/>
          <w:i/>
          <w:color w:val="auto"/>
          <w:highlight w:val="none"/>
          <w:u w:val="single"/>
          <w:lang w:eastAsia="zh-CN" w:bidi="ar"/>
        </w:rPr>
        <w:t xml:space="preserve">（项目名称）</w:t>
      </w:r>
      <w:r>
        <w:rPr>
          <w:rFonts w:hint="eastAsia" w:ascii="宋体" w:hAnsi="宋体" w:cs="宋体"/>
          <w:color w:val="auto"/>
          <w:highlight w:val="none"/>
          <w:lang w:eastAsia="zh-CN" w:bidi="ar"/>
        </w:rPr>
        <w:t xml:space="preserve">采购活动，</w:t>
      </w:r>
      <w:r>
        <w:rPr>
          <w:rFonts w:hint="eastAsia" w:ascii="宋体" w:hAnsi="宋体" w:cs="宋体"/>
          <w:color w:val="auto"/>
          <w:highlight w:val="none"/>
          <w:lang w:eastAsia="zh-CN"/>
        </w:rPr>
        <w:t xml:space="preserve">提供的货物全部由符合政策要求的中小企业制造。</w:t>
      </w:r>
      <w:r>
        <w:rPr>
          <w:rFonts w:hint="eastAsia" w:ascii="宋体" w:hAnsi="宋体" w:cs="宋体"/>
          <w:color w:val="auto"/>
          <w:highlight w:val="none"/>
        </w:rPr>
        <w:t xml:space="preserve">企业的具体情况如下</w:t>
      </w:r>
      <w:r>
        <w:rPr>
          <w:rFonts w:hint="eastAsia" w:ascii="宋体" w:hAnsi="宋体" w:cs="宋体"/>
          <w:color w:val="auto"/>
          <w:highlight w:val="none"/>
          <w:lang w:bidi="ar"/>
        </w:rPr>
        <w:t xml:space="preserve">：</w:t>
      </w:r>
      <w:r/>
    </w:p>
    <w:p>
      <w:pPr>
        <w:numPr>
          <w:ilvl w:val="0"/>
          <w:numId w:val="9"/>
        </w:numPr>
        <w:ind w:firstLine="480"/>
        <w:rPr>
          <w:rFonts w:ascii="宋体" w:hAnsi="宋体" w:cs="宋体"/>
          <w:color w:val="auto"/>
          <w:highlight w:val="none"/>
          <w:lang w:eastAsia="zh-CN"/>
        </w:rPr>
      </w:pPr>
      <w:r>
        <w:rPr>
          <w:rFonts w:hint="eastAsia" w:ascii="宋体" w:hAnsi="宋体" w:cs="宋体"/>
          <w:color w:val="auto"/>
          <w:highlight w:val="none"/>
          <w:u w:val="single"/>
          <w:lang w:eastAsia="zh-CN" w:bidi="ar"/>
        </w:rPr>
        <w:t xml:space="preserve"> （标的名称）</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9"/>
        </w:numPr>
        <w:ind w:firstLine="480"/>
        <w:rPr>
          <w:rFonts w:ascii="宋体" w:hAnsi="宋体" w:cs="宋体"/>
          <w:color w:val="auto"/>
          <w:highlight w:val="none"/>
          <w:lang w:eastAsia="zh-CN" w:bidi="ar"/>
        </w:rPr>
      </w:pPr>
      <w:r>
        <w:rPr>
          <w:rFonts w:hint="eastAsia" w:ascii="宋体" w:hAnsi="宋体" w:cs="宋体"/>
          <w:color w:val="auto"/>
          <w:highlight w:val="none"/>
          <w:u w:val="single"/>
          <w:lang w:eastAsia="zh-CN" w:bidi="ar"/>
        </w:rPr>
        <w:t xml:space="preserve">（标的名称</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ind w:firstLine="480"/>
        <w:rPr>
          <w:rFonts w:ascii="宋体" w:hAnsi="宋体" w:cs="宋体"/>
          <w:color w:val="auto"/>
          <w:highlight w:val="none"/>
          <w:lang w:eastAsia="zh-CN" w:bidi="ar"/>
        </w:rPr>
      </w:pPr>
      <w:r>
        <w:rPr>
          <w:rFonts w:hint="eastAsia" w:ascii="宋体" w:hAnsi="宋体" w:cs="宋体"/>
          <w:color w:val="auto"/>
          <w:highlight w:val="none"/>
          <w:lang w:eastAsia="zh-CN" w:bidi="ar"/>
        </w:rPr>
        <w:t xml:space="preserve">……</w:t>
      </w:r>
      <w:r/>
    </w:p>
    <w:p>
      <w:pPr>
        <w:pStyle w:val="923"/>
        <w:ind w:firstLine="480"/>
        <w:spacing w:before="120" w:beforeAutospacing="0" w:after="120" w:afterAutospacing="0"/>
        <w:rPr>
          <w:color w:val="auto"/>
          <w:highlight w:val="none"/>
          <w:lang w:eastAsia="zh-CN"/>
        </w:rPr>
      </w:pPr>
      <w:r>
        <w:rPr>
          <w:rFonts w:hint="eastAsia"/>
          <w:color w:val="auto"/>
          <w:highlight w:val="none"/>
          <w:lang w:eastAsia="zh-CN"/>
        </w:rPr>
        <w:t xml:space="preserve">　　以上企业，不属于大企业的分支机构，不存在控股股东为大企业的情形，也不存在与大企业的负责人为同一人的情形。</w:t>
      </w:r>
      <w:r/>
    </w:p>
    <w:p>
      <w:pPr>
        <w:pStyle w:val="923"/>
        <w:ind w:firstLine="480"/>
        <w:spacing w:before="120" w:beforeAutospacing="0" w:after="120" w:afterAutospacing="0"/>
        <w:rPr>
          <w:color w:val="auto"/>
          <w:highlight w:val="none"/>
          <w:lang w:eastAsia="zh-CN"/>
        </w:rPr>
      </w:pPr>
      <w:r>
        <w:rPr>
          <w:rFonts w:hint="eastAsia"/>
          <w:color w:val="auto"/>
          <w:highlight w:val="none"/>
          <w:lang w:eastAsia="zh-CN"/>
        </w:rPr>
        <w:t xml:space="preserve">　　本企业对上述声明内容的真实性负责。如有虚假，将依法承担相应责任。</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0"/>
        <w:jc w:val="both"/>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注：1、项目技术要求中如对本项目标的及其所属行业进行逐一列明的，投标供应商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r/>
    </w:p>
    <w:p>
      <w:pPr>
        <w:ind w:firstLine="482"/>
        <w:jc w:val="both"/>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2"/>
        <w:jc w:val="both"/>
        <w:widowControl w:val="off"/>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hint="eastAsia" w:ascii="Times New Roman" w:hAnsi="Times New Roman" w:cs="Times New Roman"/>
          <w:b/>
          <w:bCs/>
          <w:color w:val="auto"/>
          <w:szCs w:val="24"/>
          <w:highlight w:val="none"/>
          <w:lang w:eastAsia="zh-CN"/>
        </w:rPr>
        <w:t xml:space="preserve">从业人员、营业收入、资产总额填报上一年度数据，无上一年度数据的新成立企业可不填报。</w:t>
      </w:r>
      <w:r/>
    </w:p>
    <w:p>
      <w:pPr>
        <w:ind w:firstLine="482"/>
        <w:jc w:val="both"/>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4.在货物采购项目中，供应商提供的货物既有中小企业制造货物，也有大型企业制造货物的，不享受本办法规定的中小企业扶持政策。</w:t>
      </w:r>
      <w:bookmarkEnd w:id="33"/>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firstLine="0"/>
        <w:spacing w:after="120"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残疾人福利性单位声明函</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无锡学院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pStyle w:val="912"/>
        <w:rPr>
          <w:color w:val="auto"/>
          <w:highlight w:val="none"/>
          <w:lang w:eastAsia="zh-CN"/>
        </w:rPr>
      </w:pPr>
      <w:r>
        <w:rPr>
          <w:color w:val="auto"/>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pStyle w:val="912"/>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480" w:lineRule="exact"/>
        <w:rPr>
          <w:rFonts w:ascii="宋体" w:hAnsi="宋体" w:cs="宋体"/>
          <w:b/>
          <w:color w:val="auto"/>
          <w:szCs w:val="24"/>
          <w:highlight w:val="none"/>
          <w:lang w:eastAsia="zh-CN"/>
        </w:rPr>
      </w:pPr>
      <w:r>
        <w:rPr>
          <w:rFonts w:hint="eastAsia" w:ascii="宋体" w:hAnsi="宋体" w:cs="宋体"/>
          <w:b/>
          <w:bCs/>
          <w:color w:val="auto"/>
          <w:szCs w:val="24"/>
          <w:highlight w:val="none"/>
          <w:lang w:eastAsia="zh-CN"/>
        </w:rPr>
        <w:t xml:space="preserve">（九）关于符合本国产品标准的声明函</w:t>
      </w:r>
      <w:r>
        <w:rPr>
          <w:rFonts w:hint="eastAsia" w:ascii="宋体" w:hAnsi="宋体" w:cs="宋体"/>
          <w:b/>
          <w:color w:val="auto"/>
          <w:szCs w:val="24"/>
          <w:highlight w:val="none"/>
          <w:lang w:eastAsia="zh-CN"/>
        </w:rPr>
        <w:t xml:space="preserve">（格式）：</w:t>
      </w:r>
      <w:r/>
    </w:p>
    <w:p>
      <w:pPr>
        <w:numPr>
          <w:ilvl w:val="255"/>
          <w:numId w:val="0"/>
        </w:numPr>
        <w:spacing w:line="480" w:lineRule="exact"/>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95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（单位）</w:t>
      </w:r>
      <w:r>
        <w:rPr>
          <w:rFonts w:hint="eastAsia" w:ascii="宋体" w:hAnsi="宋体" w:cs="宋体"/>
          <w:color w:val="auto"/>
          <w:sz w:val="24"/>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95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）1，生产厂为（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）2，厂址为（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）4在中国境内生产。（</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）5在中国境内完成。</w:t>
      </w:r>
      <w:r/>
    </w:p>
    <w:p>
      <w:pPr>
        <w:pStyle w:val="95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）。（产品名称2）的（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）在中国境内生产。（</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）在中国境内完成。</w:t>
      </w:r>
      <w:r/>
    </w:p>
    <w:p>
      <w:pPr>
        <w:pStyle w:val="95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954"/>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本公司（单位）对上述声明内容的真实性负责。如有虚假，愿承担相应法律责任。</w:t>
      </w:r>
      <w:r/>
    </w:p>
    <w:p>
      <w:pPr>
        <w:pStyle w:val="959"/>
        <w:rPr>
          <w:rFonts w:ascii="宋体" w:hAnsi="宋体" w:cs="宋体"/>
          <w:color w:val="auto"/>
          <w:sz w:val="24"/>
          <w:highlight w:val="none"/>
        </w:rPr>
      </w:pPr>
      <w:r>
        <w:rPr>
          <w:rFonts w:ascii="宋体" w:hAnsi="宋体" w:cs="宋体"/>
          <w:color w:val="auto"/>
          <w:sz w:val="24"/>
          <w:highlight w:val="none"/>
        </w:rPr>
      </w:r>
      <w:r/>
    </w:p>
    <w:p>
      <w:pPr>
        <w:pStyle w:val="954"/>
        <w:rPr>
          <w:rFonts w:ascii="宋体" w:hAnsi="宋体" w:cs="宋体"/>
          <w:color w:val="auto"/>
          <w:sz w:val="24"/>
          <w:highlight w:val="none"/>
        </w:rPr>
      </w:pPr>
      <w:r>
        <w:rPr>
          <w:rFonts w:ascii="宋体" w:hAnsi="宋体" w:cs="宋体"/>
          <w:color w:val="auto"/>
          <w:sz w:val="24"/>
          <w:highlight w:val="none"/>
        </w:rPr>
      </w:r>
      <w:r/>
    </w:p>
    <w:p>
      <w:pPr>
        <w:ind w:firstLine="504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
        <w:spacing w:line="480" w:lineRule="exact"/>
        <w:rPr>
          <w:rFonts w:ascii="宋体" w:hAnsi="宋体" w:cs="宋体"/>
          <w:color w:val="auto"/>
          <w:sz w:val="30"/>
          <w:szCs w:val="30"/>
          <w:highlight w:val="none"/>
          <w:lang w:eastAsia="zh-CN"/>
        </w:rPr>
      </w:pPr>
      <w:r>
        <w:rPr>
          <w:rFonts w:hint="eastAsia" w:ascii="宋体" w:hAnsi="宋体" w:cs="宋体"/>
          <w:bCs/>
          <w:color w:val="auto"/>
          <w:szCs w:val="24"/>
          <w:highlight w:val="none"/>
          <w:lang w:eastAsia="zh-CN"/>
        </w:rPr>
        <w:t xml:space="preserve">                           日  期：</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1.产品如有型号，请在“产品名称”栏一并填写。</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2.生产厂名与厂址应与生产厂营业执照载明的相关信息保持一致。</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3.该产品的中国境内生产的组件成本占比相关要求实施前，“规定比例”栏可不填，下同。</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4.该产品的关键组件要求实施前，“关键组件”栏可不填，下同。</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5.该产品的关键工序要求实施前，“关键工序”栏可不填，下同。</w:t>
      </w:r>
      <w:r/>
    </w:p>
    <w:p>
      <w:pPr>
        <w:pStyle w:val="965"/>
        <w:ind w:firstLine="600"/>
        <w:spacing w:before="30" w:beforeAutospacing="0" w:after="30" w:afterAutospacing="0"/>
        <w:rPr>
          <w:color w:val="auto"/>
          <w:sz w:val="30"/>
          <w:szCs w:val="30"/>
          <w:highlight w:val="none"/>
          <w:lang w:eastAsia="zh-CN"/>
        </w:rPr>
        <w:pBdr>
          <w:top w:val="none" w:color="000000" w:sz="0" w:space="0"/>
          <w:left w:val="none" w:color="000000" w:sz="0" w:space="0"/>
          <w:bottom w:val="none" w:color="000000" w:sz="0" w:space="0"/>
          <w:right w:val="none" w:color="000000" w:sz="0" w:space="0"/>
        </w:pBdr>
      </w:pPr>
      <w:r>
        <w:rPr>
          <w:color w:val="auto"/>
          <w:sz w:val="30"/>
          <w:szCs w:val="30"/>
          <w:highlight w:val="none"/>
          <w:lang w:eastAsia="zh-CN"/>
        </w:rPr>
      </w:r>
      <w:r/>
    </w:p>
    <w:p>
      <w:pPr>
        <w:pStyle w:val="965"/>
        <w:ind w:firstLine="560"/>
        <w:jc w:val="center"/>
        <w:spacing w:before="30" w:beforeAutospacing="0" w:after="30" w:afterAutospacing="0"/>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8"/>
          <w:szCs w:val="28"/>
          <w:highlight w:val="none"/>
          <w:lang w:eastAsia="zh-CN"/>
        </w:rPr>
        <w:t xml:space="preserve">中国境内生产的组件成本核算基本规则</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一、产品的一级组件是指直接组成产品的组件。产品的二级组件是指直接组成产品一级组件的组件。一级组件不可分解的，视同二级组件。</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二、二级组件在中国境内生产的，其全部成本计入中国境内生产的组件成本；二级组件不在中国境内生产的，其成本不计入中国境内生产的组件成本。</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三、产品总成本和组件成本以相关会计核算数据、采购合同、进货记录等为基础进行计算。</w:t>
      </w:r>
      <w:r/>
    </w:p>
    <w:p>
      <w:pPr>
        <w:pStyle w:val="965"/>
        <w:ind w:firstLine="480"/>
        <w:spacing w:before="30" w:beforeAutospacing="0" w:after="30" w:afterAutospacing="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四、需要对成本核算规则予以进一步明确的其他有关事项，由财政部会同有关部门另行规定。</w:t>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r/>
    </w:p>
    <w:p>
      <w:pPr>
        <w:ind w:firstLine="0"/>
        <w:spacing w:line="240" w:lineRule="auto"/>
        <w:rPr>
          <w:rFonts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（十） 服务承诺（格式）：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widowControl w:val="off"/>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 xml:space="preserve">服务承诺</w:t>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采购编号：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w:t>
      </w:r>
      <w:r>
        <w:rPr>
          <w:rFonts w:hint="eastAsia" w:ascii="Times New Roman" w:hAnsi="Times New Roman" w:cs="Times New Roman"/>
          <w:color w:val="auto"/>
          <w:szCs w:val="24"/>
          <w:highlight w:val="none"/>
          <w:lang w:eastAsia="zh-CN"/>
        </w:rPr>
        <w:t xml:space="preserve">做出</w:t>
      </w:r>
      <w:r>
        <w:rPr>
          <w:rFonts w:ascii="Times New Roman" w:hAnsi="Times New Roman" w:cs="Times New Roman"/>
          <w:color w:val="auto"/>
          <w:szCs w:val="24"/>
          <w:highlight w:val="none"/>
          <w:lang w:eastAsia="zh-CN"/>
        </w:rPr>
        <w:t xml:space="preserve">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spacing w:line="240" w:lineRule="auto"/>
        <w:rPr>
          <w:rFonts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r/>
    </w:p>
    <w:p>
      <w:pPr>
        <w:ind w:right="34" w:firstLine="0"/>
        <w:widowControl w:val="off"/>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（十一） 偏离表（格式）：</w:t>
      </w:r>
      <w:r/>
    </w:p>
    <w:p>
      <w:pPr>
        <w:ind w:firstLine="0"/>
        <w:jc w:val="center"/>
        <w:spacing w:line="240" w:lineRule="auto"/>
        <w:widowControl w:val="off"/>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 xml:space="preserve">偏离表</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910"/>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r>
    </w:tbl>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   （2）如有服务偏离项，请于本表中列明偏离内容，如需要可自行延长。</w:t>
      </w:r>
      <w:r/>
    </w:p>
    <w:p>
      <w:pPr>
        <w:ind w:firstLine="566"/>
        <w:rPr>
          <w:rFonts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color w:val="auto"/>
          <w:sz w:val="21"/>
          <w:highlight w:val="none"/>
          <w:lang w:eastAsia="zh-CN"/>
        </w:rPr>
        <w:t xml:space="preserve">。</w:t>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hint="eastAsia" w:ascii="宋体" w:hAnsi="宋体" w:cs="宋体"/>
          <w:b/>
          <w:color w:val="auto"/>
          <w:szCs w:val="24"/>
          <w:highlight w:val="none"/>
          <w:lang w:eastAsia="zh-CN"/>
        </w:rPr>
        <w:t xml:space="preserve">（十二）</w:t>
      </w:r>
      <w:r>
        <w:rPr>
          <w:rFonts w:hint="eastAsia" w:ascii="宋体" w:hAnsi="宋体" w:cs="宋体"/>
          <w:b/>
          <w:color w:val="auto"/>
          <w:szCs w:val="24"/>
          <w:highlight w:val="none"/>
          <w:lang w:eastAsia="zh-CN" w:bidi="ar"/>
        </w:rPr>
        <w:t xml:space="preserve">供应商情况表（格式）：</w:t>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ascii="宋体" w:hAnsi="宋体" w:cs="宋体"/>
          <w:b/>
          <w:color w:val="auto"/>
          <w:szCs w:val="24"/>
          <w:highlight w:val="none"/>
          <w:lang w:eastAsia="zh-CN" w:bidi="ar"/>
        </w:rPr>
      </w:r>
      <w:r/>
    </w:p>
    <w:p>
      <w:pPr>
        <w:numPr>
          <w:ilvl w:val="255"/>
          <w:numId w:val="0"/>
        </w:numPr>
        <w:jc w:val="center"/>
        <w:rPr>
          <w:rFonts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 xml:space="preserve">供应商情况表</w:t>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9"/>
        <w:gridCol w:w="2700"/>
        <w:gridCol w:w="1960"/>
        <w:gridCol w:w="1889"/>
      </w:tblGrid>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法定代表人</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成立日期</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企业地址</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注册资本</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经营范围</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开户行</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银行账号</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资产总计</w:t>
            </w:r>
            <w:r/>
          </w:p>
        </w:tc>
        <w:tc>
          <w:tcPr>
            <w:tcW w:w="2700"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总资产</w:t>
            </w:r>
            <w:r/>
          </w:p>
        </w:tc>
        <w:tc>
          <w:tcPr>
            <w:tcW w:w="1889"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股东权益</w:t>
            </w:r>
            <w:r/>
          </w:p>
        </w:tc>
        <w:tc>
          <w:tcPr>
            <w:tcW w:w="2700"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主营收入</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实现利润</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社保缴纳人数</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经营面积</w:t>
            </w:r>
            <w:r/>
          </w:p>
        </w:tc>
        <w:tc>
          <w:tcPr>
            <w:tcW w:w="2700"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平方米</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其中：</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自有面积</w:t>
            </w:r>
            <w:r/>
          </w:p>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承租面积</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单位建立及内设机构情况</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单位优势及特长</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近三年来完成或正在履行的重大合同情况</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最近2年内在经营过程中受到何种奖励或处分</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（包括财政、工商、税务、物价、技监部门稽查情况及结果）</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最近3年内有无因售假、售劣或是其他原因被消费者投诉或起诉的情况及说明</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（包括解决方式和结果）</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参加政府采购活动前三年内，在经营活动中有无重大违法记录情况及说明</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获得技术认证的工程师及简介</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其他需要说明的情况</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bl>
    <w:p>
      <w:pPr>
        <w:ind w:firstLine="0"/>
        <w:spacing w:line="240" w:lineRule="auto"/>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jc w:val="both"/>
        <w:spacing w:line="240" w:lineRule="auto"/>
        <w:widowControl w:val="off"/>
        <w:rPr>
          <w:rFonts w:ascii="宋体" w:hAnsi="宋体" w:cs="宋体"/>
          <w:b/>
          <w:color w:val="auto"/>
          <w:szCs w:val="24"/>
          <w:highlight w:val="none"/>
          <w:lang w:eastAsia="zh-CN" w:bidi="ar"/>
        </w:rPr>
      </w:pPr>
      <w:r>
        <w:rPr>
          <w:rFonts w:hint="eastAsia" w:ascii="宋体" w:hAnsi="宋体" w:cs="宋体"/>
          <w:b/>
          <w:color w:val="auto"/>
          <w:szCs w:val="24"/>
          <w:highlight w:val="none"/>
          <w:lang w:eastAsia="zh-CN" w:bidi="ar"/>
        </w:rPr>
        <w:t xml:space="preserve">（十三）</w:t>
      </w:r>
      <w:r>
        <w:rPr>
          <w:rFonts w:hint="eastAsia" w:ascii="宋体" w:hAnsi="宋体" w:cs="宋体"/>
          <w:b/>
          <w:color w:val="auto"/>
          <w:szCs w:val="24"/>
          <w:highlight w:val="none"/>
          <w:lang w:eastAsia="zh-CN"/>
        </w:rPr>
        <w:t xml:space="preserve">供应商近年来已完成类似业绩一览表</w:t>
      </w:r>
      <w:r>
        <w:rPr>
          <w:rFonts w:hint="eastAsia" w:ascii="宋体" w:hAnsi="宋体" w:cs="宋体"/>
          <w:b/>
          <w:color w:val="auto"/>
          <w:szCs w:val="24"/>
          <w:highlight w:val="none"/>
          <w:lang w:eastAsia="zh-CN" w:bidi="ar"/>
        </w:rPr>
        <w:t xml:space="preserve">（格式）：</w:t>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ascii="宋体" w:hAnsi="宋体" w:cs="宋体"/>
          <w:b/>
          <w:color w:val="auto"/>
          <w:szCs w:val="24"/>
          <w:highlight w:val="none"/>
          <w:lang w:eastAsia="zh-CN" w:bidi="ar"/>
        </w:rPr>
      </w:r>
      <w:r/>
    </w:p>
    <w:p>
      <w:pPr>
        <w:numPr>
          <w:ilvl w:val="255"/>
          <w:numId w:val="0"/>
        </w:numPr>
        <w:jc w:val="center"/>
        <w:spacing w:line="240" w:lineRule="auto"/>
        <w:widowControl w:val="off"/>
        <w:rPr>
          <w:rFonts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 xml:space="preserve">供应商近年已完成类似业绩一览表</w:t>
      </w:r>
      <w:r/>
    </w:p>
    <w:p>
      <w:pPr>
        <w:numPr>
          <w:ilvl w:val="255"/>
          <w:numId w:val="0"/>
        </w:numPr>
        <w:jc w:val="center"/>
        <w:spacing w:line="240" w:lineRule="auto"/>
        <w:widowControl w:val="off"/>
        <w:rPr>
          <w:rFonts w:ascii="黑体" w:hAnsi="黑体" w:eastAsia="黑体" w:cs="黑体"/>
          <w:b/>
          <w:color w:val="auto"/>
          <w:sz w:val="28"/>
          <w:szCs w:val="28"/>
          <w:highlight w:val="none"/>
          <w:lang w:eastAsia="zh-CN"/>
        </w:rPr>
      </w:pPr>
      <w:r>
        <w:rPr>
          <w:rFonts w:ascii="黑体" w:hAnsi="黑体" w:eastAsia="黑体" w:cs="黑体"/>
          <w:b/>
          <w:color w:val="auto"/>
          <w:sz w:val="28"/>
          <w:szCs w:val="28"/>
          <w:highlight w:val="none"/>
          <w:lang w:eastAsia="zh-CN"/>
        </w:rPr>
      </w:r>
      <w:r/>
    </w:p>
    <w:p>
      <w:pPr>
        <w:numPr>
          <w:ilvl w:val="255"/>
          <w:numId w:val="0"/>
        </w:numPr>
        <w:rPr>
          <w:rFonts w:ascii="宋体" w:hAnsi="宋体" w:cs="宋体"/>
          <w:color w:val="auto"/>
          <w:szCs w:val="24"/>
          <w:highlight w:val="none"/>
          <w:shd w:val="clear" w:color="auto" w:fill="ffffff"/>
          <w:lang w:eastAsia="zh-CN" w:bidi="ar"/>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1689"/>
        <w:gridCol w:w="1690"/>
        <w:gridCol w:w="1690"/>
        <w:gridCol w:w="1690"/>
        <w:gridCol w:w="1690"/>
      </w:tblGrid>
      <w:tr>
        <w:trPr/>
        <w:tc>
          <w:tcPr>
            <w:tcW w:w="1689"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序号</w:t>
            </w:r>
            <w:r/>
          </w:p>
        </w:tc>
        <w:tc>
          <w:tcPr>
            <w:tcW w:w="1689"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项目名称</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采购人</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合同金额</w:t>
            </w:r>
            <w:r/>
          </w:p>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合同签订日期</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概况</w:t>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1</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3</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4</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5</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bl>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widowControl w:val="off"/>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（十四）技术方案（详见评分标准）</w:t>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widowControl w:val="off"/>
        <w:rPr>
          <w:rFonts w:ascii="宋体" w:hAnsi="宋体" w:cs="Times New Roman"/>
          <w:bCs/>
          <w:color w:val="auto"/>
          <w:szCs w:val="24"/>
          <w:highlight w:val="none"/>
          <w:lang w:eastAsia="zh-CN"/>
        </w:rPr>
        <w:sectPr>
          <w:footnotePr/>
          <w:endnotePr/>
          <w:type w:val="nextPage"/>
          <w:pgSz w:w="11906" w:h="16838" w:orient="portrait"/>
          <w:pgMar w:top="1440" w:right="992" w:bottom="1440" w:left="992" w:header="624" w:footer="907" w:gutter="0"/>
          <w:cols w:num="1" w:sep="0" w:space="1701" w:equalWidth="1"/>
          <w:docGrid w:linePitch="360"/>
          <w:titlePg/>
        </w:sect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宋体"/>
          <w:b/>
          <w:color w:val="auto"/>
          <w:szCs w:val="24"/>
          <w:highlight w:val="none"/>
          <w:lang w:eastAsia="zh-CN"/>
        </w:rPr>
      </w:pPr>
      <w:r/>
      <w:bookmarkStart w:id="34" w:name="_Toc112006949"/>
      <w:r>
        <w:rPr>
          <w:rFonts w:hint="eastAsia" w:ascii="宋体" w:hAnsi="宋体" w:cs="宋体"/>
          <w:b/>
          <w:color w:val="auto"/>
          <w:szCs w:val="24"/>
          <w:highlight w:val="none"/>
          <w:lang w:eastAsia="zh-CN"/>
        </w:rPr>
        <w:t xml:space="preserve">（十五）（供应商）其他材料</w:t>
      </w:r>
      <w:bookmarkEnd w:id="34"/>
      <w:r>
        <w:rPr>
          <w:rFonts w:hint="eastAsia" w:ascii="宋体" w:hAnsi="宋体" w:cs="宋体"/>
          <w:b/>
          <w:color w:val="auto"/>
          <w:szCs w:val="24"/>
          <w:highlight w:val="none"/>
          <w:lang w:eastAsia="zh-CN"/>
        </w:rPr>
        <w:t xml:space="preserve">：</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96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供应商认为有必要提供的声明和文件，如有自拟并自行添加。</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44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供应商名称（公章）：</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w:t>
      </w:r>
      <w:r/>
    </w:p>
    <w:p>
      <w:pPr>
        <w:ind w:firstLine="0"/>
        <w:jc w:val="center"/>
        <w:widowControl w:val="off"/>
        <w:rPr>
          <w:rFonts w:ascii="Times New Roman" w:hAnsi="Times New Roman" w:cs="Times New Roman"/>
          <w:b/>
          <w:bCs/>
          <w:color w:val="auto"/>
          <w:szCs w:val="24"/>
          <w:highlight w:val="none"/>
          <w:lang w:eastAsia="zh-CN"/>
        </w:rPr>
      </w:pPr>
      <w:r>
        <w:rPr>
          <w:rFonts w:hint="eastAsia" w:ascii="宋体" w:hAnsi="宋体" w:cs="宋体"/>
          <w:color w:val="auto"/>
          <w:szCs w:val="24"/>
          <w:highlight w:val="none"/>
          <w:lang w:eastAsia="zh-CN"/>
        </w:rPr>
        <w:t xml:space="preserve">                   日期：     年  月   日</w:t>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spacing w:line="240" w:lineRule="auto"/>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sectPr>
      <w:headerReference w:type="default" r:id="rId12"/>
      <w:headerReference w:type="even" r:id="rId13"/>
      <w:headerReference w:type="first" r:id="rId14"/>
      <w:footerReference w:type="default" r:id="rId19"/>
      <w:footerReference w:type="even" r:id="rId20"/>
      <w:footerReference w:type="first" r:id="rId21"/>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汉仪书宋二S">
    <w:panose1 w:val="020B0503020202020204"/>
  </w:font>
  <w:font w:name="Symbol">
    <w:panose1 w:val="05050102010706020507"/>
  </w:font>
  <w:font w:name="华文楷体">
    <w:panose1 w:val="02010600040101010101"/>
  </w:font>
  <w:font w:name="Wingdings">
    <w:panose1 w:val="05000000000000000000"/>
  </w:font>
  <w:font w:name="Cambria">
    <w:panose1 w:val="02040503050406030204"/>
  </w:font>
  <w:font w:name="等线">
    <w:panose1 w:val="02010600030101010101"/>
  </w:font>
  <w:font w:name="仿宋">
    <w:panose1 w:val="02010609060101010101"/>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微软雅黑 Light">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8"/>
                            <w:ind w:firstLine="36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ind w:firstLine="36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3076452"/>
      <w:rPr/>
    </w:sdtPr>
    <w:sdtContent>
      <w:p>
        <w:pPr>
          <w:pStyle w:val="918"/>
          <w:ind w:firstLine="360"/>
          <w:jc w:val="center"/>
        </w:pPr>
        <w:r>
          <w:fldChar w:fldCharType="begin"/>
        </w:r>
        <w:r>
          <w:instrText xml:space="preserve">PAGE   \* MERGEFORMAT</w:instrText>
        </w:r>
        <w:r>
          <w:fldChar w:fldCharType="separate"/>
        </w:r>
        <w:r>
          <w:rPr>
            <w:lang w:val="zh-CN" w:eastAsia="zh-CN"/>
          </w:rPr>
          <w:t xml:space="preserve">95</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0"/>
      <w:jc w:val="left"/>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0"/>
  </w:num>
  <w:num w:numId="5">
    <w:abstractNumId w:val="6"/>
  </w:num>
  <w:num w:numId="6">
    <w:abstractNumId w:val="8"/>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0">
    <w:name w:val="Heading 5"/>
    <w:basedOn w:val="904"/>
    <w:next w:val="9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09"/>
    <w:link w:val="20"/>
    <w:uiPriority w:val="9"/>
    <w:rPr>
      <w:rFonts w:ascii="Arial" w:hAnsi="Arial" w:eastAsia="Arial" w:cs="Arial"/>
      <w:b/>
      <w:bCs/>
      <w:sz w:val="24"/>
      <w:szCs w:val="24"/>
    </w:rPr>
  </w:style>
  <w:style w:type="paragraph" w:styleId="22">
    <w:name w:val="Heading 6"/>
    <w:basedOn w:val="904"/>
    <w:next w:val="9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09"/>
    <w:link w:val="22"/>
    <w:uiPriority w:val="9"/>
    <w:rPr>
      <w:rFonts w:ascii="Arial" w:hAnsi="Arial" w:eastAsia="Arial" w:cs="Arial"/>
      <w:b/>
      <w:bCs/>
      <w:sz w:val="22"/>
      <w:szCs w:val="22"/>
    </w:rPr>
  </w:style>
  <w:style w:type="paragraph" w:styleId="24">
    <w:name w:val="Heading 7"/>
    <w:basedOn w:val="904"/>
    <w:next w:val="9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09"/>
    <w:link w:val="24"/>
    <w:uiPriority w:val="9"/>
    <w:rPr>
      <w:rFonts w:ascii="Arial" w:hAnsi="Arial" w:eastAsia="Arial" w:cs="Arial"/>
      <w:b/>
      <w:bCs/>
      <w:i/>
      <w:iCs/>
      <w:sz w:val="22"/>
      <w:szCs w:val="22"/>
    </w:rPr>
  </w:style>
  <w:style w:type="paragraph" w:styleId="26">
    <w:name w:val="Heading 8"/>
    <w:basedOn w:val="904"/>
    <w:next w:val="9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09"/>
    <w:link w:val="26"/>
    <w:uiPriority w:val="9"/>
    <w:rPr>
      <w:rFonts w:ascii="Arial" w:hAnsi="Arial" w:eastAsia="Arial" w:cs="Arial"/>
      <w:i/>
      <w:iCs/>
      <w:sz w:val="22"/>
      <w:szCs w:val="22"/>
    </w:rPr>
  </w:style>
  <w:style w:type="paragraph" w:styleId="28">
    <w:name w:val="Heading 9"/>
    <w:basedOn w:val="904"/>
    <w:next w:val="9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09"/>
    <w:link w:val="28"/>
    <w:uiPriority w:val="9"/>
    <w:rPr>
      <w:rFonts w:ascii="Arial" w:hAnsi="Arial" w:eastAsia="Arial" w:cs="Arial"/>
      <w:i/>
      <w:iCs/>
      <w:sz w:val="21"/>
      <w:szCs w:val="21"/>
    </w:rPr>
  </w:style>
  <w:style w:type="paragraph" w:styleId="33">
    <w:name w:val="Title"/>
    <w:basedOn w:val="904"/>
    <w:next w:val="904"/>
    <w:link w:val="34"/>
    <w:uiPriority w:val="10"/>
    <w:qFormat/>
    <w:pPr>
      <w:contextualSpacing/>
      <w:spacing w:before="300" w:after="200"/>
    </w:pPr>
    <w:rPr>
      <w:sz w:val="48"/>
      <w:szCs w:val="48"/>
    </w:rPr>
  </w:style>
  <w:style w:type="character" w:styleId="34">
    <w:name w:val="Title Char"/>
    <w:basedOn w:val="909"/>
    <w:link w:val="33"/>
    <w:uiPriority w:val="10"/>
    <w:rPr>
      <w:sz w:val="48"/>
      <w:szCs w:val="48"/>
    </w:rPr>
  </w:style>
  <w:style w:type="paragraph" w:styleId="35">
    <w:name w:val="Subtitle"/>
    <w:basedOn w:val="904"/>
    <w:next w:val="904"/>
    <w:link w:val="36"/>
    <w:uiPriority w:val="11"/>
    <w:qFormat/>
    <w:pPr>
      <w:spacing w:before="200" w:after="200"/>
    </w:pPr>
    <w:rPr>
      <w:sz w:val="24"/>
      <w:szCs w:val="24"/>
    </w:rPr>
  </w:style>
  <w:style w:type="character" w:styleId="36">
    <w:name w:val="Subtitle Char"/>
    <w:basedOn w:val="909"/>
    <w:link w:val="35"/>
    <w:uiPriority w:val="11"/>
    <w:rPr>
      <w:sz w:val="24"/>
      <w:szCs w:val="24"/>
    </w:rPr>
  </w:style>
  <w:style w:type="paragraph" w:styleId="37">
    <w:name w:val="Quote"/>
    <w:basedOn w:val="904"/>
    <w:next w:val="904"/>
    <w:link w:val="38"/>
    <w:uiPriority w:val="29"/>
    <w:qFormat/>
    <w:pPr>
      <w:ind w:left="720" w:right="720"/>
    </w:pPr>
    <w:rPr>
      <w:i/>
    </w:rPr>
  </w:style>
  <w:style w:type="character" w:styleId="38">
    <w:name w:val="Quote Char"/>
    <w:link w:val="37"/>
    <w:uiPriority w:val="29"/>
    <w:rPr>
      <w:i/>
    </w:rPr>
  </w:style>
  <w:style w:type="paragraph" w:styleId="39">
    <w:name w:val="Intense Quote"/>
    <w:basedOn w:val="904"/>
    <w:next w:val="9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904"/>
    <w:next w:val="904"/>
    <w:uiPriority w:val="35"/>
    <w:semiHidden/>
    <w:unhideWhenUsed/>
    <w:qFormat/>
    <w:pPr>
      <w:spacing w:line="276" w:lineRule="auto"/>
    </w:pPr>
    <w:rPr>
      <w:b/>
      <w:bCs/>
      <w:color w:val="4f81bd" w:themeColor="accent1"/>
      <w:sz w:val="18"/>
      <w:szCs w:val="18"/>
    </w:rPr>
  </w:style>
  <w:style w:type="character" w:styleId="46">
    <w:name w:val="Caption Char"/>
    <w:basedOn w:val="45"/>
    <w:link w:val="918"/>
    <w:uiPriority w:val="99"/>
  </w:style>
  <w:style w:type="table" w:styleId="48">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9"/>
    <w:uiPriority w:val="99"/>
    <w:unhideWhenUsed/>
    <w:rPr>
      <w:vertAlign w:val="superscript"/>
    </w:rPr>
  </w:style>
  <w:style w:type="paragraph" w:styleId="177">
    <w:name w:val="endnote text"/>
    <w:basedOn w:val="9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9"/>
    <w:uiPriority w:val="99"/>
    <w:semiHidden/>
    <w:unhideWhenUsed/>
    <w:rPr>
      <w:vertAlign w:val="superscript"/>
    </w:rPr>
  </w:style>
  <w:style w:type="paragraph" w:styleId="183">
    <w:name w:val="toc 4"/>
    <w:basedOn w:val="904"/>
    <w:next w:val="904"/>
    <w:uiPriority w:val="39"/>
    <w:unhideWhenUsed/>
    <w:pPr>
      <w:ind w:left="850" w:right="0" w:firstLine="0"/>
      <w:spacing w:after="57"/>
    </w:pPr>
  </w:style>
  <w:style w:type="paragraph" w:styleId="184">
    <w:name w:val="toc 5"/>
    <w:basedOn w:val="904"/>
    <w:next w:val="904"/>
    <w:uiPriority w:val="39"/>
    <w:unhideWhenUsed/>
    <w:pPr>
      <w:ind w:left="1134" w:right="0" w:firstLine="0"/>
      <w:spacing w:after="57"/>
    </w:pPr>
  </w:style>
  <w:style w:type="paragraph" w:styleId="185">
    <w:name w:val="toc 6"/>
    <w:basedOn w:val="904"/>
    <w:next w:val="904"/>
    <w:uiPriority w:val="39"/>
    <w:unhideWhenUsed/>
    <w:pPr>
      <w:ind w:left="1417" w:right="0" w:firstLine="0"/>
      <w:spacing w:after="57"/>
    </w:pPr>
  </w:style>
  <w:style w:type="paragraph" w:styleId="186">
    <w:name w:val="toc 7"/>
    <w:basedOn w:val="904"/>
    <w:next w:val="904"/>
    <w:uiPriority w:val="39"/>
    <w:unhideWhenUsed/>
    <w:pPr>
      <w:ind w:left="1701" w:right="0" w:firstLine="0"/>
      <w:spacing w:after="57"/>
    </w:pPr>
  </w:style>
  <w:style w:type="paragraph" w:styleId="187">
    <w:name w:val="toc 8"/>
    <w:basedOn w:val="904"/>
    <w:next w:val="904"/>
    <w:uiPriority w:val="39"/>
    <w:unhideWhenUsed/>
    <w:pPr>
      <w:ind w:left="1984" w:right="0" w:firstLine="0"/>
      <w:spacing w:after="57"/>
    </w:pPr>
  </w:style>
  <w:style w:type="paragraph" w:styleId="188">
    <w:name w:val="toc 9"/>
    <w:basedOn w:val="904"/>
    <w:next w:val="9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4"/>
    <w:next w:val="904"/>
    <w:uiPriority w:val="99"/>
    <w:unhideWhenUsed/>
    <w:pPr>
      <w:spacing w:after="0" w:afterAutospacing="0"/>
    </w:pPr>
  </w:style>
  <w:style w:type="paragraph" w:styleId="904"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905">
    <w:name w:val="Heading 1"/>
    <w:basedOn w:val="904"/>
    <w:next w:val="904"/>
    <w:link w:val="931"/>
    <w:uiPriority w:val="9"/>
    <w:qFormat/>
    <w:pPr>
      <w:ind w:firstLine="0"/>
      <w:jc w:val="center"/>
      <w:keepLines/>
      <w:keepNext/>
      <w:spacing w:line="240" w:lineRule="auto"/>
      <w:outlineLvl w:val="0"/>
    </w:pPr>
    <w:rPr>
      <w:rFonts w:eastAsia="黑体"/>
      <w:b/>
      <w:bCs/>
      <w:sz w:val="36"/>
      <w:szCs w:val="44"/>
    </w:rPr>
  </w:style>
  <w:style w:type="paragraph" w:styleId="906">
    <w:name w:val="Heading 2"/>
    <w:basedOn w:val="904"/>
    <w:next w:val="904"/>
    <w:link w:val="934"/>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907">
    <w:name w:val="Heading 3"/>
    <w:basedOn w:val="904"/>
    <w:next w:val="904"/>
    <w:link w:val="935"/>
    <w:uiPriority w:val="9"/>
    <w:unhideWhenUsed/>
    <w:qFormat/>
    <w:pPr>
      <w:ind w:firstLine="0"/>
      <w:keepLines/>
      <w:keepNext/>
      <w:spacing w:line="240" w:lineRule="auto"/>
      <w:outlineLvl w:val="2"/>
    </w:pPr>
    <w:rPr>
      <w:bCs/>
      <w:sz w:val="32"/>
      <w:szCs w:val="32"/>
    </w:rPr>
  </w:style>
  <w:style w:type="paragraph" w:styleId="908">
    <w:name w:val="Heading 4"/>
    <w:basedOn w:val="904"/>
    <w:next w:val="904"/>
    <w:link w:val="936"/>
    <w:uiPriority w:val="9"/>
    <w:unhideWhenUsed/>
    <w:qFormat/>
    <w:pPr>
      <w:ind w:firstLine="0"/>
      <w:keepLines/>
      <w:keepNext/>
      <w:spacing w:before="120"/>
      <w:outlineLvl w:val="3"/>
    </w:pPr>
    <w:rPr>
      <w:rFonts w:asciiTheme="majorHAnsi" w:hAnsiTheme="majorHAnsi" w:cstheme="majorBidi"/>
      <w:b/>
      <w:bCs/>
      <w:sz w:val="28"/>
      <w:szCs w:val="28"/>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annotation text"/>
    <w:basedOn w:val="904"/>
    <w:link w:val="975"/>
    <w:uiPriority w:val="99"/>
    <w:semiHidden/>
    <w:unhideWhenUsed/>
    <w:qFormat/>
  </w:style>
  <w:style w:type="paragraph" w:styleId="912">
    <w:name w:val="Body Text"/>
    <w:basedOn w:val="904"/>
    <w:next w:val="904"/>
    <w:link w:val="969"/>
    <w:uiPriority w:val="0"/>
    <w:semiHidden/>
    <w:qFormat/>
    <w:pPr>
      <w:ind w:firstLine="0"/>
      <w:spacing w:line="240" w:lineRule="auto"/>
    </w:pPr>
    <w:rPr>
      <w:rFonts w:eastAsia="Arial"/>
      <w:sz w:val="21"/>
    </w:rPr>
  </w:style>
  <w:style w:type="paragraph" w:styleId="913">
    <w:name w:val="Body Text Indent"/>
    <w:basedOn w:val="904"/>
    <w:link w:val="939"/>
    <w:uiPriority w:val="99"/>
    <w:semiHidden/>
    <w:unhideWhenUsed/>
    <w:qFormat/>
    <w:pPr>
      <w:ind w:left="420"/>
      <w:spacing w:after="120"/>
    </w:pPr>
  </w:style>
  <w:style w:type="paragraph" w:styleId="914">
    <w:name w:val="index 4"/>
    <w:basedOn w:val="904"/>
    <w:next w:val="904"/>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915">
    <w:name w:val="toc 3"/>
    <w:basedOn w:val="904"/>
    <w:next w:val="904"/>
    <w:uiPriority w:val="39"/>
    <w:unhideWhenUsed/>
    <w:qFormat/>
    <w:pPr>
      <w:ind w:left="840"/>
    </w:pPr>
  </w:style>
  <w:style w:type="paragraph" w:styleId="916">
    <w:name w:val="Plain Text"/>
    <w:basedOn w:val="904"/>
    <w:link w:val="971"/>
    <w:uiPriority w:val="0"/>
    <w:qFormat/>
    <w:pPr>
      <w:ind w:firstLine="0"/>
      <w:jc w:val="both"/>
      <w:spacing w:line="240" w:lineRule="auto"/>
      <w:widowControl w:val="off"/>
    </w:pPr>
    <w:rPr>
      <w:rFonts w:ascii="宋体" w:hAnsi="Courier New" w:cs="Courier New"/>
      <w:color w:val="161616"/>
      <w:sz w:val="21"/>
      <w:lang w:eastAsia="zh-CN"/>
    </w:rPr>
  </w:style>
  <w:style w:type="paragraph" w:styleId="917">
    <w:name w:val="Balloon Text"/>
    <w:basedOn w:val="904"/>
    <w:link w:val="944"/>
    <w:uiPriority w:val="99"/>
    <w:semiHidden/>
    <w:unhideWhenUsed/>
    <w:qFormat/>
    <w:pPr>
      <w:spacing w:line="240" w:lineRule="auto"/>
    </w:pPr>
    <w:rPr>
      <w:sz w:val="18"/>
      <w:szCs w:val="18"/>
    </w:rPr>
  </w:style>
  <w:style w:type="paragraph" w:styleId="918">
    <w:name w:val="Footer"/>
    <w:basedOn w:val="904"/>
    <w:next w:val="919"/>
    <w:link w:val="930"/>
    <w:uiPriority w:val="99"/>
    <w:unhideWhenUsed/>
    <w:qFormat/>
    <w:pPr>
      <w:tabs>
        <w:tab w:val="center" w:pos="4153" w:leader="none"/>
        <w:tab w:val="right" w:pos="8306" w:leader="none"/>
      </w:tabs>
    </w:pPr>
    <w:rPr>
      <w:sz w:val="18"/>
      <w:szCs w:val="18"/>
    </w:rPr>
  </w:style>
  <w:style w:type="paragraph" w:styleId="919" w:customStyle="1">
    <w:name w:val="TOC Heading1"/>
    <w:next w:val="904"/>
    <w:uiPriority w:val="0"/>
    <w:qFormat/>
    <w:rPr>
      <w:rFonts w:ascii="Calibri" w:hAnsi="Calibri" w:eastAsia="宋体" w:cs="Times New Roman"/>
      <w:sz w:val="32"/>
      <w:lang w:val="en-US" w:eastAsia="zh-CN" w:bidi="ar-SA"/>
    </w:rPr>
  </w:style>
  <w:style w:type="paragraph" w:styleId="920">
    <w:name w:val="Header"/>
    <w:basedOn w:val="904"/>
    <w:link w:val="929"/>
    <w:uiPriority w:val="99"/>
    <w:unhideWhenUsed/>
    <w:qFormat/>
    <w:pPr>
      <w:jc w:val="center"/>
      <w:tabs>
        <w:tab w:val="center" w:pos="4153" w:leader="none"/>
        <w:tab w:val="right" w:pos="8306" w:leader="none"/>
      </w:tabs>
    </w:pPr>
    <w:rPr>
      <w:sz w:val="18"/>
      <w:szCs w:val="18"/>
    </w:rPr>
  </w:style>
  <w:style w:type="paragraph" w:styleId="921">
    <w:name w:val="toc 1"/>
    <w:basedOn w:val="904"/>
    <w:next w:val="904"/>
    <w:uiPriority w:val="39"/>
    <w:unhideWhenUsed/>
    <w:qFormat/>
    <w:pPr>
      <w:ind w:firstLine="0"/>
      <w:tabs>
        <w:tab w:val="right" w:pos="8890" w:leader="dot"/>
      </w:tabs>
    </w:pPr>
  </w:style>
  <w:style w:type="paragraph" w:styleId="922">
    <w:name w:val="toc 2"/>
    <w:basedOn w:val="904"/>
    <w:next w:val="904"/>
    <w:uiPriority w:val="39"/>
    <w:unhideWhenUsed/>
    <w:qFormat/>
    <w:pPr>
      <w:ind w:left="420"/>
    </w:pPr>
  </w:style>
  <w:style w:type="paragraph" w:styleId="923">
    <w:name w:val="Normal (Web)"/>
    <w:basedOn w:val="904"/>
    <w:uiPriority w:val="99"/>
    <w:qFormat/>
    <w:pPr>
      <w:spacing w:before="100" w:beforeAutospacing="1" w:after="100" w:afterAutospacing="1"/>
    </w:pPr>
    <w:rPr>
      <w:rFonts w:ascii="宋体" w:hAnsi="宋体" w:cs="宋体"/>
      <w:szCs w:val="24"/>
    </w:rPr>
  </w:style>
  <w:style w:type="paragraph" w:styleId="924">
    <w:name w:val="annotation subject"/>
    <w:basedOn w:val="911"/>
    <w:next w:val="911"/>
    <w:link w:val="976"/>
    <w:uiPriority w:val="99"/>
    <w:semiHidden/>
    <w:unhideWhenUsed/>
    <w:qFormat/>
    <w:rPr>
      <w:b/>
      <w:bCs/>
    </w:rPr>
  </w:style>
  <w:style w:type="table" w:styleId="925">
    <w:name w:val="Table Grid"/>
    <w:basedOn w:val="91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basedOn w:val="909"/>
    <w:uiPriority w:val="22"/>
    <w:qFormat/>
    <w:rPr>
      <w:b/>
    </w:rPr>
  </w:style>
  <w:style w:type="character" w:styleId="927">
    <w:name w:val="Hyperlink"/>
    <w:basedOn w:val="909"/>
    <w:uiPriority w:val="99"/>
    <w:unhideWhenUsed/>
    <w:qFormat/>
    <w:rPr>
      <w:color w:val="0563c1" w:themeColor="hyperlink"/>
      <w:u w:val="single"/>
      <w14:textFill>
        <w14:solidFill>
          <w14:schemeClr w14:val="hlink"/>
        </w14:solidFill>
      </w14:textFill>
    </w:rPr>
  </w:style>
  <w:style w:type="character" w:styleId="928">
    <w:name w:val="annotation reference"/>
    <w:basedOn w:val="909"/>
    <w:uiPriority w:val="99"/>
    <w:semiHidden/>
    <w:unhideWhenUsed/>
    <w:qFormat/>
    <w:rPr>
      <w:sz w:val="21"/>
      <w:szCs w:val="21"/>
    </w:rPr>
  </w:style>
  <w:style w:type="character" w:styleId="929" w:customStyle="1">
    <w:name w:val="Header Char"/>
    <w:basedOn w:val="909"/>
    <w:link w:val="920"/>
    <w:uiPriority w:val="99"/>
    <w:qFormat/>
    <w:rPr>
      <w:sz w:val="18"/>
      <w:szCs w:val="18"/>
    </w:rPr>
  </w:style>
  <w:style w:type="character" w:styleId="930" w:customStyle="1">
    <w:name w:val="Footer Char"/>
    <w:basedOn w:val="909"/>
    <w:link w:val="918"/>
    <w:uiPriority w:val="99"/>
    <w:qFormat/>
    <w:rPr>
      <w:sz w:val="18"/>
      <w:szCs w:val="18"/>
    </w:rPr>
  </w:style>
  <w:style w:type="character" w:styleId="931" w:customStyle="1">
    <w:name w:val="Heading 1 Char"/>
    <w:basedOn w:val="909"/>
    <w:link w:val="905"/>
    <w:uiPriority w:val="9"/>
    <w:qFormat/>
    <w:rPr>
      <w:rFonts w:ascii="Arial" w:hAnsi="Arial" w:eastAsia="黑体" w:cs="Arial"/>
      <w:b/>
      <w:bCs/>
      <w:color w:val="000000"/>
      <w:sz w:val="36"/>
      <w:szCs w:val="44"/>
      <w:lang w:eastAsia="en-US"/>
    </w:rPr>
  </w:style>
  <w:style w:type="paragraph" w:styleId="932">
    <w:name w:val="List Paragraph"/>
    <w:basedOn w:val="904"/>
    <w:uiPriority w:val="34"/>
    <w:qFormat/>
    <w:pPr>
      <w:ind w:left="360" w:firstLine="0"/>
      <w:jc w:val="center"/>
    </w:pPr>
  </w:style>
  <w:style w:type="character" w:styleId="933" w:customStyle="1">
    <w:name w:val="正文文本 Char"/>
    <w:basedOn w:val="909"/>
    <w:uiPriority w:val="0"/>
    <w:semiHidden/>
    <w:qFormat/>
    <w:rPr>
      <w:rFonts w:ascii="Arial" w:hAnsi="Arial" w:eastAsia="Arial" w:cs="Arial"/>
      <w:color w:val="000000"/>
      <w:szCs w:val="21"/>
      <w:lang w:eastAsia="en-US"/>
    </w:rPr>
  </w:style>
  <w:style w:type="character" w:styleId="934" w:customStyle="1">
    <w:name w:val="Heading 2 Char"/>
    <w:basedOn w:val="909"/>
    <w:link w:val="906"/>
    <w:uiPriority w:val="9"/>
    <w:qFormat/>
    <w:rPr>
      <w:rFonts w:eastAsia="宋体" w:asciiTheme="majorHAnsi" w:hAnsiTheme="majorHAnsi" w:cstheme="majorBidi"/>
      <w:b/>
      <w:bCs/>
      <w:color w:val="000000"/>
      <w:sz w:val="32"/>
      <w:szCs w:val="32"/>
      <w:lang w:eastAsia="en-US"/>
    </w:rPr>
  </w:style>
  <w:style w:type="character" w:styleId="935" w:customStyle="1">
    <w:name w:val="Heading 3 Char"/>
    <w:basedOn w:val="909"/>
    <w:link w:val="907"/>
    <w:uiPriority w:val="9"/>
    <w:qFormat/>
    <w:rPr>
      <w:rFonts w:ascii="Arial" w:hAnsi="Arial" w:eastAsia="宋体" w:cs="Arial"/>
      <w:bCs/>
      <w:color w:val="000000"/>
      <w:sz w:val="32"/>
      <w:szCs w:val="32"/>
      <w:lang w:eastAsia="en-US"/>
    </w:rPr>
  </w:style>
  <w:style w:type="character" w:styleId="936" w:customStyle="1">
    <w:name w:val="Heading 4 Char"/>
    <w:basedOn w:val="909"/>
    <w:link w:val="908"/>
    <w:uiPriority w:val="9"/>
    <w:qFormat/>
    <w:rPr>
      <w:rFonts w:eastAsia="宋体" w:asciiTheme="majorHAnsi" w:hAnsiTheme="majorHAnsi" w:cstheme="majorBidi"/>
      <w:b/>
      <w:bCs/>
      <w:color w:val="000000"/>
      <w:sz w:val="28"/>
      <w:szCs w:val="28"/>
      <w:lang w:eastAsia="en-US"/>
    </w:rPr>
  </w:style>
  <w:style w:type="table" w:styleId="937" w:customStyle="1">
    <w:name w:val="Table Normal1"/>
    <w:uiPriority w:val="0"/>
    <w:semiHidden/>
    <w:unhideWhenUsed/>
    <w:qFormat/>
    <w:tblPr>
      <w:tblCellMar>
        <w:left w:w="0" w:type="dxa"/>
        <w:top w:w="0" w:type="dxa"/>
        <w:right w:w="0" w:type="dxa"/>
        <w:bottom w:w="0" w:type="dxa"/>
      </w:tblCellMar>
    </w:tblPr>
  </w:style>
  <w:style w:type="paragraph" w:styleId="938" w:customStyle="1">
    <w:name w:val="Table Text"/>
    <w:basedOn w:val="904"/>
    <w:uiPriority w:val="0"/>
    <w:semiHidden/>
    <w:qFormat/>
    <w:pPr>
      <w:ind w:firstLine="0"/>
      <w:spacing w:line="240" w:lineRule="auto"/>
    </w:pPr>
    <w:rPr>
      <w:rFonts w:ascii="宋体" w:hAnsi="宋体" w:cs="宋体"/>
      <w:szCs w:val="24"/>
    </w:rPr>
  </w:style>
  <w:style w:type="character" w:styleId="939" w:customStyle="1">
    <w:name w:val="Body Text Indent Char"/>
    <w:basedOn w:val="909"/>
    <w:link w:val="913"/>
    <w:uiPriority w:val="99"/>
    <w:semiHidden/>
    <w:qFormat/>
    <w:rPr>
      <w:rFonts w:ascii="Arial" w:hAnsi="Arial" w:eastAsia="宋体" w:cs="Arial"/>
      <w:color w:val="000000"/>
      <w:sz w:val="24"/>
      <w:szCs w:val="21"/>
      <w:lang w:eastAsia="en-US"/>
    </w:rPr>
  </w:style>
  <w:style w:type="character" w:styleId="940" w:customStyle="1">
    <w:name w:val="纯文本 Char"/>
    <w:basedOn w:val="909"/>
    <w:uiPriority w:val="0"/>
    <w:qFormat/>
    <w:rPr>
      <w:rFonts w:ascii="宋体" w:hAnsi="Courier New" w:eastAsia="宋体" w:cs="Courier New"/>
      <w:color w:val="161616"/>
      <w:szCs w:val="21"/>
    </w:rPr>
  </w:style>
  <w:style w:type="paragraph" w:styleId="941" w:customStyle="1">
    <w:name w:val="TOC 标题1"/>
    <w:basedOn w:val="905"/>
    <w:next w:val="904"/>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42">
    <w:name w:val="No Spacing"/>
    <w:uiPriority w:val="1"/>
    <w:qFormat/>
    <w:pPr>
      <w:ind w:firstLine="200"/>
    </w:pPr>
    <w:rPr>
      <w:rFonts w:ascii="Arial" w:hAnsi="Arial" w:eastAsia="宋体" w:cs="Arial"/>
      <w:color w:val="000000"/>
      <w:sz w:val="24"/>
      <w:szCs w:val="21"/>
      <w:lang w:val="en-US" w:eastAsia="en-US" w:bidi="ar-SA"/>
    </w:rPr>
  </w:style>
  <w:style w:type="character" w:styleId="943" w:customStyle="1">
    <w:name w:val="未处理的提及1"/>
    <w:basedOn w:val="909"/>
    <w:uiPriority w:val="99"/>
    <w:semiHidden/>
    <w:unhideWhenUsed/>
    <w:qFormat/>
    <w:rPr>
      <w:color w:val="605e5c"/>
      <w:shd w:val="clear" w:color="auto" w:fill="e1dfdd"/>
    </w:rPr>
  </w:style>
  <w:style w:type="character" w:styleId="944" w:customStyle="1">
    <w:name w:val="Balloon Text Char"/>
    <w:basedOn w:val="909"/>
    <w:link w:val="917"/>
    <w:uiPriority w:val="99"/>
    <w:semiHidden/>
    <w:qFormat/>
    <w:rPr>
      <w:rFonts w:ascii="Arial" w:hAnsi="Arial" w:eastAsia="宋体" w:cs="Arial"/>
      <w:color w:val="000000"/>
      <w:sz w:val="18"/>
      <w:szCs w:val="18"/>
      <w:lang w:eastAsia="en-US"/>
    </w:rPr>
  </w:style>
  <w:style w:type="paragraph" w:styleId="945" w:customStyle="1">
    <w:name w:val="页眉1"/>
    <w:basedOn w:val="904"/>
    <w:link w:val="946"/>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946" w:customStyle="1">
    <w:name w:val="页眉 字符"/>
    <w:link w:val="945"/>
    <w:uiPriority w:val="99"/>
    <w:qFormat/>
    <w:rPr>
      <w:rFonts w:ascii="等线" w:hAnsi="等线" w:eastAsia="等线" w:cs="Times New Roman"/>
      <w:sz w:val="18"/>
      <w:szCs w:val="18"/>
    </w:rPr>
  </w:style>
  <w:style w:type="paragraph" w:styleId="947" w:customStyle="1">
    <w:name w:val="修订1"/>
    <w:hidden/>
    <w:uiPriority w:val="99"/>
    <w:unhideWhenUsed/>
    <w:qFormat/>
    <w:rPr>
      <w:rFonts w:ascii="Arial" w:hAnsi="Arial" w:eastAsia="宋体" w:cs="Arial"/>
      <w:color w:val="000000"/>
      <w:sz w:val="24"/>
      <w:szCs w:val="21"/>
      <w:lang w:val="en-US" w:eastAsia="en-US" w:bidi="ar-SA"/>
    </w:rPr>
  </w:style>
  <w:style w:type="character" w:styleId="948" w:customStyle="1">
    <w:name w:val="font11"/>
    <w:basedOn w:val="909"/>
    <w:uiPriority w:val="0"/>
    <w:qFormat/>
    <w:rPr>
      <w:rFonts w:hint="eastAsia" w:ascii="宋体" w:hAnsi="宋体" w:eastAsia="宋体" w:cs="宋体"/>
      <w:color w:val="000000"/>
      <w:sz w:val="22"/>
      <w:szCs w:val="22"/>
      <w:u w:val="none"/>
    </w:rPr>
  </w:style>
  <w:style w:type="character" w:styleId="949" w:customStyle="1">
    <w:name w:val="font51"/>
    <w:basedOn w:val="909"/>
    <w:uiPriority w:val="0"/>
    <w:qFormat/>
    <w:rPr>
      <w:rFonts w:hint="eastAsia" w:ascii="宋体" w:hAnsi="宋体" w:eastAsia="宋体" w:cs="宋体"/>
      <w:color w:val="ff0000"/>
      <w:sz w:val="22"/>
      <w:szCs w:val="22"/>
      <w:u w:val="none"/>
    </w:rPr>
  </w:style>
  <w:style w:type="character" w:styleId="950" w:customStyle="1">
    <w:name w:val="font01"/>
    <w:basedOn w:val="909"/>
    <w:uiPriority w:val="0"/>
    <w:qFormat/>
    <w:rPr>
      <w:rFonts w:hint="eastAsia" w:ascii="宋体" w:hAnsi="宋体" w:eastAsia="宋体" w:cs="宋体"/>
      <w:color w:val="000000"/>
      <w:sz w:val="22"/>
      <w:szCs w:val="22"/>
      <w:u w:val="none"/>
    </w:rPr>
  </w:style>
  <w:style w:type="character" w:styleId="951" w:customStyle="1">
    <w:name w:val="font61"/>
    <w:basedOn w:val="909"/>
    <w:uiPriority w:val="0"/>
    <w:qFormat/>
    <w:rPr>
      <w:rFonts w:hint="eastAsia" w:ascii="宋体" w:hAnsi="宋体" w:eastAsia="宋体" w:cs="宋体"/>
      <w:b/>
      <w:bCs/>
      <w:color w:val="000000"/>
      <w:sz w:val="22"/>
      <w:szCs w:val="22"/>
      <w:u w:val="none"/>
    </w:rPr>
  </w:style>
  <w:style w:type="character" w:styleId="952" w:customStyle="1">
    <w:name w:val="font41"/>
    <w:basedOn w:val="909"/>
    <w:uiPriority w:val="0"/>
    <w:qFormat/>
    <w:rPr>
      <w:rFonts w:hint="eastAsia" w:ascii="宋体" w:hAnsi="宋体" w:eastAsia="宋体" w:cs="宋体"/>
      <w:color w:val="000000"/>
      <w:sz w:val="24"/>
      <w:szCs w:val="24"/>
      <w:u w:val="none"/>
    </w:rPr>
  </w:style>
  <w:style w:type="character" w:styleId="953" w:customStyle="1">
    <w:name w:val="font91"/>
    <w:basedOn w:val="909"/>
    <w:uiPriority w:val="0"/>
    <w:qFormat/>
    <w:rPr>
      <w:rFonts w:hint="eastAsia" w:ascii="宋体" w:hAnsi="宋体" w:eastAsia="宋体" w:cs="宋体"/>
      <w:color w:val="ff0000"/>
      <w:sz w:val="24"/>
      <w:szCs w:val="24"/>
      <w:u w:val="none"/>
    </w:rPr>
  </w:style>
  <w:style w:type="paragraph" w:styleId="954" w:customStyle="1">
    <w:name w:val="正文1"/>
    <w:basedOn w:val="955"/>
    <w:next w:val="959"/>
    <w:uiPriority w:val="0"/>
    <w:qFormat/>
  </w:style>
  <w:style w:type="paragraph" w:styleId="955" w:customStyle="1">
    <w:name w:val="正文11"/>
    <w:next w:val="956"/>
    <w:uiPriority w:val="0"/>
    <w:qFormat/>
    <w:pPr>
      <w:jc w:val="both"/>
      <w:widowControl w:val="off"/>
    </w:pPr>
    <w:rPr>
      <w:rFonts w:ascii="Times New Roman" w:hAnsi="Times New Roman" w:eastAsia="宋体" w:cs="Times New Roman"/>
      <w:sz w:val="21"/>
      <w:szCs w:val="24"/>
      <w:lang w:val="en-US" w:eastAsia="zh-CN" w:bidi="ar-SA"/>
    </w:rPr>
  </w:style>
  <w:style w:type="paragraph" w:styleId="956" w:customStyle="1">
    <w:name w:val="目录 11"/>
    <w:basedOn w:val="957"/>
    <w:next w:val="955"/>
    <w:uiPriority w:val="0"/>
    <w:qFormat/>
    <w:rPr>
      <w:rFonts w:ascii="Times New Roman" w:hAnsi="Times New Roman" w:eastAsia="宋体"/>
    </w:rPr>
  </w:style>
  <w:style w:type="paragraph" w:styleId="957" w:customStyle="1">
    <w:name w:val="正文12"/>
    <w:next w:val="958"/>
    <w:uiPriority w:val="0"/>
    <w:qFormat/>
    <w:pPr>
      <w:jc w:val="both"/>
      <w:widowControl w:val="off"/>
    </w:pPr>
    <w:rPr>
      <w:rFonts w:ascii="Calibri" w:hAnsi="Calibri" w:eastAsia="Calibri" w:cs="Times New Roman"/>
      <w:sz w:val="21"/>
      <w:szCs w:val="24"/>
      <w:lang w:val="en-US" w:eastAsia="zh-CN" w:bidi="ar-SA"/>
    </w:rPr>
  </w:style>
  <w:style w:type="paragraph" w:styleId="958" w:customStyle="1">
    <w:name w:val="文本块11"/>
    <w:basedOn w:val="957"/>
    <w:uiPriority w:val="0"/>
    <w:qFormat/>
    <w:pPr>
      <w:ind w:left="1440" w:right="1440"/>
      <w:spacing w:after="120"/>
    </w:pPr>
    <w:rPr>
      <w:rFonts w:ascii="Times New Roman" w:hAnsi="Times New Roman" w:eastAsia="宋体"/>
    </w:rPr>
  </w:style>
  <w:style w:type="paragraph" w:styleId="959" w:customStyle="1">
    <w:name w:val="正文文本1"/>
    <w:basedOn w:val="955"/>
    <w:next w:val="960"/>
    <w:uiPriority w:val="0"/>
    <w:qFormat/>
    <w:pPr>
      <w:spacing w:after="120"/>
    </w:pPr>
    <w:rPr>
      <w:rFonts w:ascii="Calibri" w:hAnsi="Calibri"/>
    </w:rPr>
  </w:style>
  <w:style w:type="paragraph" w:styleId="960" w:customStyle="1">
    <w:name w:val="一级条标题"/>
    <w:basedOn w:val="961"/>
    <w:next w:val="962"/>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61" w:customStyle="1">
    <w:name w:val="章标题"/>
    <w:next w:val="95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62" w:customStyle="1">
    <w:name w:val="段"/>
    <w:basedOn w:val="954"/>
    <w:next w:val="904"/>
    <w:uiPriority w:val="0"/>
    <w:qFormat/>
    <w:pPr>
      <w:ind w:firstLine="200"/>
      <w:widowControl/>
    </w:pPr>
    <w:rPr>
      <w:rFonts w:ascii="宋体"/>
      <w:sz w:val="20"/>
      <w:szCs w:val="20"/>
    </w:rPr>
  </w:style>
  <w:style w:type="paragraph" w:styleId="963" w:customStyle="1">
    <w:name w:val="文本块1"/>
    <w:basedOn w:val="954"/>
    <w:next w:val="964"/>
    <w:uiPriority w:val="0"/>
    <w:qFormat/>
    <w:pPr>
      <w:ind w:left="420" w:right="33"/>
      <w:jc w:val="left"/>
    </w:pPr>
    <w:rPr>
      <w:sz w:val="24"/>
      <w:szCs w:val="20"/>
    </w:rPr>
  </w:style>
  <w:style w:type="paragraph" w:styleId="964" w:customStyle="1">
    <w:name w:val="标题 41"/>
    <w:basedOn w:val="957"/>
    <w:next w:val="955"/>
    <w:uiPriority w:val="0"/>
    <w:qFormat/>
    <w:pPr>
      <w:keepLines/>
      <w:keepNext/>
      <w:spacing w:before="280" w:after="290" w:line="376" w:lineRule="auto"/>
      <w:outlineLvl w:val="3"/>
    </w:pPr>
    <w:rPr>
      <w:rFonts w:ascii="Cambria" w:hAnsi="Cambria" w:eastAsia="宋体"/>
      <w:b/>
      <w:bCs/>
      <w:sz w:val="28"/>
      <w:szCs w:val="28"/>
    </w:rPr>
  </w:style>
  <w:style w:type="paragraph" w:styleId="965" w:customStyle="1">
    <w:name w:val="普通(网站)2"/>
    <w:basedOn w:val="904"/>
    <w:uiPriority w:val="0"/>
    <w:qFormat/>
    <w:pPr>
      <w:spacing w:before="100" w:beforeAutospacing="1" w:after="100" w:afterAutospacing="1"/>
    </w:pPr>
    <w:rPr>
      <w:rFonts w:ascii="宋体" w:hAnsi="宋体" w:cs="宋体"/>
      <w:szCs w:val="24"/>
    </w:rPr>
  </w:style>
  <w:style w:type="paragraph" w:styleId="966" w:customStyle="1">
    <w:name w:val="页眉11"/>
    <w:basedOn w:val="904"/>
    <w:uiPriority w:val="0"/>
    <w:qFormat/>
    <w:pPr>
      <w:tabs>
        <w:tab w:val="center" w:pos="7143" w:leader="none"/>
        <w:tab w:val="right" w:pos="14287" w:leader="none"/>
      </w:tabs>
    </w:pPr>
    <w:rPr>
      <w:lang w:eastAsia="zh-CN"/>
    </w:rPr>
  </w:style>
  <w:style w:type="paragraph" w:styleId="967" w:customStyle="1">
    <w:name w:val="页脚11"/>
    <w:basedOn w:val="904"/>
    <w:uiPriority w:val="0"/>
    <w:qFormat/>
    <w:pPr>
      <w:tabs>
        <w:tab w:val="center" w:pos="7143" w:leader="none"/>
        <w:tab w:val="right" w:pos="14287" w:leader="none"/>
      </w:tabs>
    </w:pPr>
    <w:rPr>
      <w:rFonts w:ascii="Times New Roman" w:hAnsi="Times New Roman" w:cs="Times New Roman"/>
    </w:rPr>
  </w:style>
  <w:style w:type="character" w:styleId="968" w:customStyle="1">
    <w:name w:val="页码11"/>
    <w:uiPriority w:val="0"/>
    <w:qFormat/>
    <w:rPr>
      <w:rFonts w:ascii="Arial" w:hAnsi="Arial" w:eastAsia="宋体" w:cs="Arial"/>
      <w:color w:val="000000"/>
      <w:sz w:val="24"/>
      <w:szCs w:val="21"/>
      <w:lang w:val="en-US" w:eastAsia="en-US" w:bidi="ar-SA"/>
    </w:rPr>
  </w:style>
  <w:style w:type="character" w:styleId="969" w:customStyle="1">
    <w:name w:val="Body Text Char"/>
    <w:basedOn w:val="909"/>
    <w:link w:val="912"/>
    <w:uiPriority w:val="0"/>
    <w:qFormat/>
    <w:rPr>
      <w:rFonts w:hint="eastAsia" w:ascii="宋体" w:hAnsi="宋体" w:eastAsia="宋体" w:cs="宋体"/>
      <w:sz w:val="24"/>
      <w:szCs w:val="24"/>
      <w:lang w:eastAsia="en-US"/>
    </w:rPr>
  </w:style>
  <w:style w:type="paragraph" w:styleId="970" w:customStyle="1">
    <w:name w:val="列出段落1"/>
    <w:basedOn w:val="904"/>
    <w:uiPriority w:val="0"/>
    <w:qFormat/>
    <w:pPr>
      <w:ind w:firstLine="420"/>
      <w:jc w:val="both"/>
      <w:widowControl w:val="off"/>
    </w:pPr>
    <w:rPr>
      <w:rFonts w:ascii="Calibri" w:hAnsi="Calibri" w:cs="Times New Roman"/>
      <w:sz w:val="21"/>
      <w:szCs w:val="22"/>
      <w:lang w:eastAsia="zh-CN"/>
    </w:rPr>
  </w:style>
  <w:style w:type="character" w:styleId="971" w:customStyle="1">
    <w:name w:val="Plain Text Char"/>
    <w:basedOn w:val="909"/>
    <w:link w:val="916"/>
    <w:uiPriority w:val="0"/>
    <w:qFormat/>
    <w:rPr>
      <w:rFonts w:hint="eastAsia" w:ascii="宋体" w:hAnsi="Courier New" w:eastAsia="宋体" w:cs="宋体"/>
      <w:b/>
      <w:sz w:val="21"/>
      <w:szCs w:val="21"/>
    </w:rPr>
  </w:style>
  <w:style w:type="character" w:styleId="972" w:customStyle="1">
    <w:name w:val="font21"/>
    <w:basedOn w:val="909"/>
    <w:uiPriority w:val="0"/>
    <w:qFormat/>
    <w:rPr>
      <w:rFonts w:hint="eastAsia" w:ascii="宋体" w:hAnsi="宋体" w:eastAsia="宋体" w:cs="宋体"/>
      <w:color w:val="000000"/>
      <w:sz w:val="22"/>
      <w:szCs w:val="22"/>
      <w:u w:val="none"/>
    </w:rPr>
  </w:style>
  <w:style w:type="paragraph" w:styleId="973" w:customStyle="1">
    <w:name w:val="页脚1"/>
    <w:basedOn w:val="904"/>
    <w:next w:val="974"/>
    <w:uiPriority w:val="0"/>
    <w:qFormat/>
    <w:pPr>
      <w:tabs>
        <w:tab w:val="center" w:pos="4153" w:leader="none"/>
        <w:tab w:val="right" w:pos="8306" w:leader="none"/>
      </w:tabs>
    </w:pPr>
    <w:rPr>
      <w:sz w:val="18"/>
      <w:szCs w:val="18"/>
    </w:rPr>
  </w:style>
  <w:style w:type="paragraph" w:styleId="974" w:customStyle="1">
    <w:name w:val="明显引用1"/>
    <w:basedOn w:val="904"/>
    <w:next w:val="904"/>
    <w:uiPriority w:val="0"/>
    <w:qFormat/>
    <w:pPr>
      <w:ind w:left="936" w:right="936"/>
      <w:spacing w:before="200" w:after="280"/>
      <w:pBdr>
        <w:bottom w:val="single" w:color="4F81BD" w:sz="4" w:space="4"/>
      </w:pBdr>
    </w:pPr>
    <w:rPr>
      <w:b/>
      <w:bCs/>
      <w:i/>
      <w:iCs/>
      <w:color w:val="4f81bd"/>
    </w:rPr>
  </w:style>
  <w:style w:type="character" w:styleId="975" w:customStyle="1">
    <w:name w:val="Comment Text Char"/>
    <w:basedOn w:val="909"/>
    <w:link w:val="911"/>
    <w:uiPriority w:val="99"/>
    <w:semiHidden/>
    <w:qFormat/>
    <w:rPr>
      <w:rFonts w:ascii="Arial" w:hAnsi="Arial" w:cs="Arial"/>
      <w:color w:val="000000"/>
      <w:sz w:val="24"/>
      <w:szCs w:val="21"/>
      <w:lang w:eastAsia="en-US"/>
    </w:rPr>
  </w:style>
  <w:style w:type="character" w:styleId="976" w:customStyle="1">
    <w:name w:val="Comment Subject Char"/>
    <w:basedOn w:val="975"/>
    <w:link w:val="924"/>
    <w:uiPriority w:val="99"/>
    <w:semiHidden/>
    <w:qFormat/>
    <w:rPr>
      <w:rFonts w:ascii="Arial" w:hAnsi="Arial" w:cs="Arial"/>
      <w:b/>
      <w:bCs/>
      <w:color w:val="000000"/>
      <w:sz w:val="24"/>
      <w:szCs w:val="21"/>
      <w:lang w:eastAsia="en-US"/>
    </w:rPr>
  </w:style>
  <w:style w:type="paragraph" w:styleId="97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4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2.xml><?xml version="1.0" encoding="utf-8"?>
<contractReview xmlns="http://schemas.wps.cn/vas-ai-hub/contract-review">
  <reviewItems>
    <reviewItem>
      <errorID>ad3c99f3-917d-4d00-80f2-e1137e030b26</errorID>
      <errorWord>－－</errorWord>
      <group>L1_AI</group>
      <groupName>深度校对</groupName>
      <ability>L2_AI_Punc</ability>
      <abilityName>标点纠错</abilityName>
      <candidateList>
        <item>——</item>
      </candidateList>
      <explain/>
      <paraID>5316ED2E</paraID>
      <start>38</start>
      <end>40</end>
      <status>unmodified</status>
      <modifiedWord/>
      <trackRevisions>false</trackRevisions>
    </reviewItem>
    <reviewItem>
      <errorID>dcd5a520-440d-4e6c-8d07-ff9ec7026d35</errorID>
      <errorWord>--</errorWord>
      <group>L1_AI</group>
      <groupName>深度校对</groupName>
      <ability>L2_AI_Punc</ability>
      <abilityName>标点纠错</abilityName>
      <candidateList>
        <item>——</item>
      </candidateList>
      <explain/>
      <paraID>5316ED2E</paraID>
      <start>50</start>
      <end>52</end>
      <status>unmodified</status>
      <modifiedWord/>
      <trackRevisions>false</trackRevisions>
    </reviewItem>
    <reviewItem>
      <errorID>1c80e048-54b9-4d03-a965-a718e48b948a</errorID>
      <errorWord>--</errorWord>
      <group>L1_AI</group>
      <groupName>深度校对</groupName>
      <ability>L2_AI_Punc</ability>
      <abilityName>标点纠错</abilityName>
      <candidateList>
        <item>——</item>
      </candidateList>
      <explain/>
      <paraID>5316ED2E</paraID>
      <start>59</start>
      <end>61</end>
      <status>unmodified</status>
      <modifiedWord/>
      <trackRevisions>false</trackRevisions>
    </reviewItem>
    <reviewItem>
      <errorID>5a690335-904a-44bf-a993-752df31b54c1</errorID>
      <errorWord>--</errorWord>
      <group>L1_AI</group>
      <groupName>深度校对</groupName>
      <ability>L2_AI_Punc</ability>
      <abilityName>标点纠错</abilityName>
      <candidateList>
        <item>——</item>
      </candidateList>
      <explain/>
      <paraID>5316ED2E</paraID>
      <start>65</start>
      <end>67</end>
      <status>unmodified</status>
      <modifiedWord/>
      <trackRevisions>false</trackRevisions>
    </reviewItem>
    <reviewItem>
      <errorID>22af1c64-0c79-4c1d-8443-4dadd256d0f0</errorID>
      <errorWord>--</errorWord>
      <group>L1_AI</group>
      <groupName>深度校对</groupName>
      <ability>L2_AI_Punc</ability>
      <abilityName>标点纠错</abilityName>
      <candidateList>
        <item>——</item>
      </candidateList>
      <explain/>
      <paraID>5316ED2E</paraID>
      <start>85</start>
      <end>87</end>
      <status>unmodified</status>
      <modifiedWord/>
      <trackRevisions>false</trackRevisions>
    </reviewItem>
    <reviewItem>
      <errorID>f237bb44-6381-4294-a8a5-e1ac92753b22</errorID>
      <errorWord>－－</errorWord>
      <group>L1_AI</group>
      <groupName>深度校对</groupName>
      <ability>L2_AI_Punc</ability>
      <abilityName>标点纠错</abilityName>
      <candidateList>
        <item>——</item>
      </candidateList>
      <explain/>
      <paraID>5316ED2E</paraID>
      <start>114</start>
      <end>116</end>
      <status>unmodified</status>
      <modifiedWord/>
      <trackRevisions>false</trackRevisions>
    </reviewItem>
    <reviewItem>
      <errorID>916a0944-1524-4ee8-b5b9-368200abd9f1</errorID>
      <errorWord>－－</errorWord>
      <group>L1_AI</group>
      <groupName>深度校对</groupName>
      <ability>L2_AI_Punc</ability>
      <abilityName>标点纠错</abilityName>
      <candidateList>
        <item>——</item>
      </candidateList>
      <explain/>
      <paraID>5316ED2E</paraID>
      <start>122</start>
      <end>124</end>
      <status>unmodified</status>
      <modifiedWord/>
      <trackRevisions>false</trackRevisions>
    </reviewItem>
    <reviewItem>
      <errorID>8443ecca-f9d9-47fb-a780-be518e9cfa50</errorID>
      <errorWord>--</errorWord>
      <group>L1_AI</group>
      <groupName>深度校对</groupName>
      <ability>L2_AI_Punc</ability>
      <abilityName>标点纠错</abilityName>
      <candidateList>
        <item>——</item>
      </candidateList>
      <explain/>
      <paraID>5316ED2E</paraID>
      <start>142</start>
      <end>144</end>
      <status>unmodified</status>
      <modifiedWord/>
      <trackRevisions>false</trackRevisions>
    </reviewItem>
    <reviewItem>
      <errorID>60c7f356-4017-4fa9-b404-834a97607751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4FE16BBC</paraID>
      <start>68</start>
      <end>69</end>
      <status>unmodified</status>
      <modifiedWord/>
      <trackRevisions>false</trackRevisions>
    </reviewItem>
    <reviewItem>
      <errorID>f08cdba5-3d96-44b6-8c1e-07c537fe1ab5</errorID>
      <errorWord>，</errorWord>
      <group>L1_AI</group>
      <groupName>深度校对</groupName>
      <ability>L2_AI_Punc</ability>
      <abilityName>标点纠错</abilityName>
      <candidateList>
        <item>。</item>
      </candidateList>
      <explain/>
      <paraID>4FE16BBC</paraID>
      <start>239</start>
      <end>240</end>
      <status>unmodified</status>
      <modifiedWord/>
      <trackRevisions>false</trackRevisions>
    </reviewItem>
    <reviewItem>
      <errorID>2addf026-f827-4d15-bf54-c03bc42858ef</errorID>
      <errorWord>00前</errorWord>
      <group>L1_AI</group>
      <groupName>深度校对</groupName>
      <ability>L2_AI_Word</ability>
      <abilityName>字词纠错</abilityName>
      <candidateList>
        <item>00</item>
      </candidateList>
      <explain/>
      <paraID> 6EDB781</paraID>
      <start>66</start>
      <end>69</end>
      <status>unmodified</status>
      <modifiedWord/>
      <trackRevisions>false</trackRevisions>
    </reviewItem>
    <reviewItem>
      <errorID>5ec1a340-1173-43ab-902d-a584fefe5e73</errorID>
      <errorWord>解密</errorWord>
      <group>L1_AI</group>
      <groupName>深度校对</groupName>
      <ability>L2_AI_Grammar</ability>
      <abilityName>语法纠错</abilityName>
      <candidateList>
        <item>进行解密</item>
      </candidateList>
      <explain/>
      <paraID>60471967</paraID>
      <start>77</start>
      <end>79</end>
      <status>unmodified</status>
      <modifiedWord/>
      <trackRevisions>false</trackRevisions>
    </reviewItem>
    <reviewItem>
      <errorID>aa416bce-9264-43b3-a40c-be016209817d</errorID>
      <errorWord>。</errorWord>
      <group>L1_AI</group>
      <groupName>深度校对</groupName>
      <ability>L2_AI_Punc</ability>
      <abilityName>标点纠错</abilityName>
      <candidateList>
        <item/>
      </candidateList>
      <explain/>
      <paraID>22A67E41</paraID>
      <start>41</start>
      <end>42</end>
      <status>unmodified</status>
      <modifiedWord/>
      <trackRevisions>false</trackRevisions>
    </reviewItem>
    <reviewItem>
      <errorID>39030a7f-6256-48fa-ab29-5b34c66ec0b8</errorID>
      <errorWord>结束</errorWord>
      <group>L1_AI</group>
      <groupName>深度校对</groupName>
      <ability>L2_AI_Punc</ability>
      <abilityName>标点纠错</abilityName>
      <candidateList>
        <item>结束。</item>
      </candidateList>
      <explain/>
      <paraID>45C06978</paraID>
      <start>7</start>
      <end>9</end>
      <status>unmodified</status>
      <modifiedWord/>
      <trackRevisions>false</trackRevisions>
    </reviewItem>
    <reviewItem>
      <errorID>480f6ea3-7347-419f-9921-a25f04da0524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2B024CAA</paraID>
      <start>54</start>
      <end>55</end>
      <status>unmodified</status>
      <modifiedWord/>
      <trackRevisions>false</trackRevisions>
    </reviewItem>
    <reviewItem>
      <errorID>bb414990-236b-4301-bf5b-b8f6f913a176</errorID>
      <errorWord>并</errorWord>
      <group>L1_AI</group>
      <groupName>深度校对</groupName>
      <ability>L2_AI_Punc</ability>
      <abilityName>标点纠错</abilityName>
      <candidateList>
        <item>，并</item>
      </candidateList>
      <explain/>
      <paraID>2B024CAA</paraID>
      <start>210</start>
      <end>211</end>
      <status>unmodified</status>
      <modifiedWord/>
      <trackRevisions>false</trackRevisions>
    </reviewItem>
    <reviewItem>
      <errorID>ec81aa6f-855f-41e1-a17b-e6a2cc07c6c3</errorID>
      <errorWord>金额100万</errorWord>
      <group>L1_Word</group>
      <groupName>字词问题</groupName>
      <ability>L2_Typo</ability>
      <abilityName>字词错误</abilityName>
      <candidateList>
        <item>金额100万元</item>
      </candidateList>
      <explain/>
      <paraID>70FFB795</paraID>
      <start>32</start>
      <end>38</end>
      <status>unmodified</status>
      <modifiedWord/>
      <trackRevisions>false</trackRevisions>
    </reviewItem>
    <reviewItem>
      <errorID>35a5ed16-9285-4f63-82ae-c922cb12182c</errorID>
      <errorWord>（含100万）</errorWord>
      <group>L1_Word</group>
      <groupName>字词问题</groupName>
      <ability>L2_Typo</ability>
      <abilityName>字词错误</abilityName>
      <candidateList>
        <item>（含100万元）</item>
      </candidateList>
      <explain/>
      <paraID>70FFB795</paraID>
      <start>38</start>
      <end>45</end>
      <status>unmodified</status>
      <modifiedWord/>
      <trackRevisions>false</trackRevisions>
    </reviewItem>
    <reviewItem>
      <errorID>fab754b9-f4e6-4b60-b584-f931f559cbda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B4A1CDF</paraID>
      <start>0</start>
      <end>2</end>
      <status>unmodified</status>
      <modifiedWord/>
      <trackRevisions>false</trackRevisions>
    </reviewItem>
    <reviewItem>
      <errorID>520ea84c-9bc4-4314-8d31-334f69cf1942</errorID>
      <errorWord>~</errorWord>
      <group>L1_Format</group>
      <groupName>格式问题</groupName>
      <ability>L2_HalfPunc</ability>
      <abilityName>全半角检查</abilityName>
      <candidateList>
        <item>～</item>
      </candidateList>
      <explain>文本全半角错误。</explain>
      <paraID> B4A1CDF</paraID>
      <start>620</start>
      <end>621</end>
      <status>unmodified</status>
      <modifiedWord/>
      <trackRevisions>false</trackRevisions>
    </reviewItem>
    <reviewItem>
      <errorID>6b506fea-0d0a-4206-8710-f02efe013e1c</errorID>
      <errorWord>rpm</errorWord>
      <group>L1_Knowledge</group>
      <groupName>知识性问题</groupName>
      <ability>L2_Knowledge</ability>
      <abilityName>其他知识</abilityName>
      <candidateList/>
      <explain>非法定单位</explain>
      <paraID> B4A1CDF</paraID>
      <start>724</start>
      <end>727</end>
      <status>unmodified</status>
      <modifiedWord/>
      <trackRevisions>false</trackRevisions>
    </reviewItem>
    <reviewItem>
      <errorID>1a5c9ab2-259e-46cc-9074-d0f1ee0ba651</errorID>
      <errorWord>-</errorWord>
      <group>L1_Format</group>
      <groupName>格式问题</groupName>
      <ability>L2_HalfPunc</ability>
      <abilityName>全半角检查</abilityName>
      <candidateList>
        <item>－</item>
      </candidateList>
      <explain>文本全半角错误。</explain>
      <paraID> B4A1CDF</paraID>
      <start>954</start>
      <end>955</end>
      <status>unmodified</status>
      <modifiedWord/>
      <trackRevisions>false</trackRevisions>
    </reviewItem>
    <reviewItem>
      <errorID>bd8fa9c5-9fbf-48d6-844c-387baf715015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4AA1297F</paraID>
      <start>0</start>
      <end>2</end>
      <status>unmodified</status>
      <modifiedWord/>
      <trackRevisions>false</trackRevisions>
    </reviewItem>
    <reviewItem>
      <errorID>8f12fb9f-7054-4b75-96f1-3690b4f25837</errorID>
      <errorWord>:</errorWord>
      <group>L1_Format</group>
      <groupName>格式问题</groupName>
      <ability>L2_HalfPunc</ability>
      <abilityName>全半角检查</abilityName>
      <candidateList>
        <item>：</item>
      </candidateList>
      <explain>文本全半角错误。</explain>
      <paraID>4AA1297F</paraID>
      <start>16</start>
      <end>17</end>
      <status>unmodified</status>
      <modifiedWord/>
      <trackRevisions>false</trackRevisions>
    </reviewItem>
    <reviewItem>
      <errorID>b76619be-e38e-4e90-b8fe-4a3e196a9bf3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326595E9</paraID>
      <start>0</start>
      <end>2</end>
      <status>unmodified</status>
      <modifiedWord/>
      <trackRevisions>false</trackRevisions>
    </reviewItem>
    <reviewItem>
      <errorID>13805d8c-ded4-4f31-b739-00bd2d224f4d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7E34EA93</paraID>
      <start>0</start>
      <end>2</end>
      <status>unmodified</status>
      <modifiedWord/>
      <trackRevisions>false</trackRevisions>
    </reviewItem>
    <reviewItem>
      <errorID>c1f53202-6304-4ded-adf4-0db96ab41c91</errorID>
      <errorWord>噪音</errorWord>
      <group>L1_Word</group>
      <groupName>字词问题</groupName>
      <ability>L2_Alias</ability>
      <abilityName>也作/曾用词</abilityName>
      <candidateList>
        <item>噪声</item>
      </candidateList>
      <explain>词汇[噪音]为不规范表述或旧称，其规范书面表述为[噪声]。</explain>
      <paraID>7E34EA93</paraID>
      <start>32</start>
      <end>34</end>
      <status>unmodified</status>
      <modifiedWord/>
      <trackRevisions>false</trackRevisions>
    </reviewItem>
    <reviewItem>
      <errorID>9d6b0bff-8d75-4ee0-95be-7319582286e2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4F180EED</paraID>
      <start>0</start>
      <end>2</end>
      <status>unmodified</status>
      <modifiedWord/>
      <trackRevisions>false</trackRevisions>
    </reviewItem>
    <reviewItem>
      <errorID>d393ad43-7a70-4c5e-93fd-33b0b8fb8f97</errorID>
      <errorWord>噪音</errorWord>
      <group>L1_Word</group>
      <groupName>字词问题</groupName>
      <ability>L2_Alias</ability>
      <abilityName>也作/曾用词</abilityName>
      <candidateList>
        <item>噪声</item>
      </candidateList>
      <explain>词汇[噪音]为不规范表述或旧称，其规范书面表述为[噪声]。</explain>
      <paraID>4F180EED</paraID>
      <start>21</start>
      <end>23</end>
      <status>unmodified</status>
      <modifiedWord/>
      <trackRevisions>false</trackRevisions>
    </reviewItem>
    <reviewItem>
      <errorID>48233c35-255e-48b7-9242-1234d21bba5b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690167F2</paraID>
      <start>0</start>
      <end>2</end>
      <status>unmodified</status>
      <modifiedWord/>
      <trackRevisions>false</trackRevisions>
    </reviewItem>
    <reviewItem>
      <errorID>3d7873d2-4e5f-437d-871a-bf19a2eeb185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75FDA48C</paraID>
      <start>0</start>
      <end>2</end>
      <status>unmodified</status>
      <modifiedWord/>
      <trackRevisions>false</trackRevisions>
    </reviewItem>
    <reviewItem>
      <errorID>9dcdc6ae-30ee-46cc-8bd8-73868aa21d3f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1E9E95CF</paraID>
      <start>0</start>
      <end>2</end>
      <status>unmodified</status>
      <modifiedWord/>
      <trackRevisions>false</trackRevisions>
    </reviewItem>
    <reviewItem>
      <errorID>c622ecb8-8b01-47fe-902d-5f03d3220924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44E5DEEC</paraID>
      <start>0</start>
      <end>2</end>
      <status>unmodified</status>
      <modifiedWord/>
      <trackRevisions>false</trackRevisions>
    </reviewItem>
    <reviewItem>
      <errorID>c821a128-3916-480d-84b6-010e98b2c806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41A5CA78</paraID>
      <start>0</start>
      <end>2</end>
      <status>unmodified</status>
      <modifiedWord/>
      <trackRevisions>false</trackRevisions>
    </reviewItem>
    <reviewItem>
      <errorID>6f9676dc-9511-4405-a9df-0a4d5f625748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1055230E</paraID>
      <start>0</start>
      <end>2</end>
      <status>unmodified</status>
      <modifiedWord/>
      <trackRevisions>false</trackRevisions>
    </reviewItem>
    <reviewItem>
      <errorID>02a326e4-1933-41cb-bc0f-d551c2be2e08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2D2E922D</paraID>
      <start>0</start>
      <end>3</end>
      <status>unmodified</status>
      <modifiedWord/>
      <trackRevisions>false</trackRevisions>
    </reviewItem>
    <reviewItem>
      <errorID>150ffa3c-cc35-41fe-80f8-2b815677110e</errorID>
      <errorWord>震动</errorWord>
      <group>L1_Word</group>
      <groupName>字词问题</groupName>
      <ability>L2_Typo</ability>
      <abilityName>字词错误</abilityName>
      <candidateList>
        <item>振动</item>
      </candidateList>
      <explain>存在发音相同字词的误用。</explain>
      <paraID>2D2E922D</paraID>
      <start>428</start>
      <end>430</end>
      <status>unmodified</status>
      <modifiedWord/>
      <trackRevisions>false</trackRevisions>
    </reviewItem>
    <reviewItem>
      <errorID>cd694cc5-f3f1-4573-b6d5-5b1df9b4994e</errorID>
      <errorWord>~</errorWord>
      <group>L1_Format</group>
      <groupName>格式问题</groupName>
      <ability>L2_HalfPunc</ability>
      <abilityName>全半角检查</abilityName>
      <candidateList>
        <item>～</item>
      </candidateList>
      <explain>文本全半角错误。</explain>
      <paraID>2D2E922D</paraID>
      <start>623</start>
      <end>624</end>
      <status>unmodified</status>
      <modifiedWord/>
      <trackRevisions>false</trackRevisions>
    </reviewItem>
    <reviewItem>
      <errorID>8574fa3d-5574-41bc-a729-1e02f9c0685c</errorID>
      <errorWord>rpm</errorWord>
      <group>L1_Knowledge</group>
      <groupName>知识性问题</groupName>
      <ability>L2_Knowledge</ability>
      <abilityName>其他知识</abilityName>
      <candidateList/>
      <explain>非法定单位</explain>
      <paraID>2D2E922D</paraID>
      <start>727</start>
      <end>730</end>
      <status>unmodified</status>
      <modifiedWord/>
      <trackRevisions>false</trackRevisions>
    </reviewItem>
    <reviewItem>
      <errorID>84c931b0-c7c0-44c3-9fc1-285c37cc7b26</errorID>
      <errorWord>-</errorWord>
      <group>L1_Format</group>
      <groupName>格式问题</groupName>
      <ability>L2_HalfPunc</ability>
      <abilityName>全半角检查</abilityName>
      <candidateList>
        <item>－</item>
      </candidateList>
      <explain>文本全半角错误。</explain>
      <paraID>2D2E922D</paraID>
      <start>957</start>
      <end>958</end>
      <status>unmodified</status>
      <modifiedWord/>
      <trackRevisions>false</trackRevisions>
    </reviewItem>
    <reviewItem>
      <errorID>68969cac-dfa8-4b68-b468-74b1ca276b28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2D5B6AF5</paraID>
      <start>0</start>
      <end>2</end>
      <status>unmodified</status>
      <modifiedWord/>
      <trackRevisions>false</trackRevisions>
    </reviewItem>
    <reviewItem>
      <errorID>b84ddf3b-94cf-41ac-bb28-068acd07f5a7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108192F6</paraID>
      <start>0</start>
      <end>2</end>
      <status>unmodified</status>
      <modifiedWord/>
      <trackRevisions>false</trackRevisions>
    </reviewItem>
    <reviewItem>
      <errorID>7579a25b-d447-4502-b259-157228e9e276</errorID>
      <errorWord>:</errorWord>
      <group>L1_Format</group>
      <groupName>格式问题</groupName>
      <ability>L2_HalfPunc</ability>
      <abilityName>全半角检查</abilityName>
      <candidateList>
        <item>：</item>
      </candidateList>
      <explain>文本全半角错误。</explain>
      <paraID>108192F6</paraID>
      <start>38</start>
      <end>39</end>
      <status>unmodified</status>
      <modifiedWord/>
      <trackRevisions>false</trackRevisions>
    </reviewItem>
    <reviewItem>
      <errorID>655317ae-5b3d-4a57-8a9b-f7acfee4db28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6C2C2AC1</paraID>
      <start>0</start>
      <end>2</end>
      <status>unmodified</status>
      <modifiedWord/>
      <trackRevisions>false</trackRevisions>
    </reviewItem>
    <reviewItem>
      <errorID>3ed46e87-1f0b-4bba-8eff-cf12b51f4e2e</errorID>
      <errorWord>;</errorWord>
      <group>L1_Format</group>
      <groupName>格式问题</groupName>
      <ability>L2_HalfPunc</ability>
      <abilityName>全半角检查</abilityName>
      <candidateList>
        <item>；</item>
      </candidateList>
      <explain>文本全半角错误。</explain>
      <paraID>6C2C2AC1</paraID>
      <start>33</start>
      <end>34</end>
      <status>unmodified</status>
      <modifiedWord/>
      <trackRevisions>false</trackRevisions>
    </reviewItem>
    <reviewItem>
      <errorID>9a2bfd2a-9665-4472-8314-8ab91769e892</errorID>
      <errorWord>,</errorWord>
      <group>L1_Format</group>
      <groupName>格式问题</groupName>
      <ability>L2_HalfPunc</ability>
      <abilityName>全半角检查</abilityName>
      <candidateList>
        <item>，</item>
      </candidateList>
      <explain>文本全半角错误。</explain>
      <paraID>6C2C2AC1</paraID>
      <start>42</start>
      <end>43</end>
      <status>unmodified</status>
      <modifiedWord/>
      <trackRevisions>false</trackRevisions>
    </reviewItem>
    <reviewItem>
      <errorID>7b6d5503-3c0b-4dbf-b8ec-9f89ed0e8503</errorID>
      <errorWord>,</errorWord>
      <group>L1_Format</group>
      <groupName>格式问题</groupName>
      <ability>L2_HalfPunc</ability>
      <abilityName>全半角检查</abilityName>
      <candidateList>
        <item>，</item>
      </candidateList>
      <explain>文本全半角错误。</explain>
      <paraID>6C2C2AC1</paraID>
      <start>48</start>
      <end>49</end>
      <status>unmodified</status>
      <modifiedWord/>
      <trackRevisions>false</trackRevisions>
    </reviewItem>
    <reviewItem>
      <errorID>62b873a1-9f1f-43c8-a7e0-52239c0b23a4</errorID>
      <errorWord>,</errorWord>
      <group>L1_Format</group>
      <groupName>格式问题</groupName>
      <ability>L2_HalfPunc</ability>
      <abilityName>全半角检查</abilityName>
      <candidateList>
        <item>，</item>
      </candidateList>
      <explain>文本全半角错误。</explain>
      <paraID>6C2C2AC1</paraID>
      <start>54</start>
      <end>55</end>
      <status>unmodified</status>
      <modifiedWord/>
      <trackRevisions>false</trackRevisions>
    </reviewItem>
    <reviewItem>
      <errorID>c7c93048-fd02-4e74-a9f7-f69a2b84dc63</errorID>
      <errorWord>,</errorWord>
      <group>L1_Format</group>
      <groupName>格式问题</groupName>
      <ability>L2_HalfPunc</ability>
      <abilityName>全半角检查</abilityName>
      <candidateList>
        <item>，</item>
      </candidateList>
      <explain>文本全半角错误。</explain>
      <paraID>6C2C2AC1</paraID>
      <start>58</start>
      <end>59</end>
      <status>unmodified</status>
      <modifiedWord/>
      <trackRevisions>false</trackRevisions>
    </reviewItem>
    <reviewItem>
      <errorID>11539aff-c114-4ff4-92e0-1b755a8c3619</errorID>
      <errorWord>,</errorWord>
      <group>L1_Format</group>
      <groupName>格式问题</groupName>
      <ability>L2_HalfPunc</ability>
      <abilityName>全半角检查</abilityName>
      <candidateList>
        <item>，</item>
      </candidateList>
      <explain>文本全半角错误。</explain>
      <paraID>6C2C2AC1</paraID>
      <start>62</start>
      <end>63</end>
      <status>unmodified</status>
      <modifiedWord/>
      <trackRevisions>false</trackRevisions>
    </reviewItem>
    <reviewItem>
      <errorID>cfbbb342-5a70-4a32-a47e-0c8561f4d465</errorID>
      <errorWord>,</errorWord>
      <group>L1_Format</group>
      <groupName>格式问题</groupName>
      <ability>L2_HalfPunc</ability>
      <abilityName>全半角检查</abilityName>
      <candidateList>
        <item>，</item>
      </candidateList>
      <explain>文本全半角错误。</explain>
      <paraID>6C2C2AC1</paraID>
      <start>67</start>
      <end>68</end>
      <status>unmodified</status>
      <modifiedWord/>
      <trackRevisions>false</trackRevisions>
    </reviewItem>
    <reviewItem>
      <errorID>b69555fd-e8e8-47b1-8a3d-907d045fc1b8</errorID>
      <errorWord>,</errorWord>
      <group>L1_Format</group>
      <groupName>格式问题</groupName>
      <ability>L2_HalfPunc</ability>
      <abilityName>全半角检查</abilityName>
      <candidateList>
        <item>，</item>
      </candidateList>
      <explain>文本全半角错误。</explain>
      <paraID>6C2C2AC1</paraID>
      <start>155</start>
      <end>156</end>
      <status>unmodified</status>
      <modifiedWord/>
      <trackRevisions>false</trackRevisions>
    </reviewItem>
    <reviewItem>
      <errorID>6d3fa24d-24cb-430f-951d-ae12cf2edc9c</errorID>
      <errorWord>,</errorWord>
      <group>L1_Format</group>
      <groupName>格式问题</groupName>
      <ability>L2_HalfPunc</ability>
      <abilityName>全半角检查</abilityName>
      <candidateList>
        <item>，</item>
      </candidateList>
      <explain>文本全半角错误。</explain>
      <paraID>6C2C2AC1</paraID>
      <start>183</start>
      <end>184</end>
      <status>unmodified</status>
      <modifiedWord/>
      <trackRevisions>false</trackRevisions>
    </reviewItem>
    <reviewItem>
      <errorID>f37cef6d-966c-4e2b-82eb-3c9c7fa130f7</errorID>
      <errorWord>,</errorWord>
      <group>L1_Format</group>
      <groupName>格式问题</groupName>
      <ability>L2_HalfPunc</ability>
      <abilityName>全半角检查</abilityName>
      <candidateList>
        <item>，</item>
      </candidateList>
      <explain>文本全半角错误。</explain>
      <paraID>6C2C2AC1</paraID>
      <start>205</start>
      <end>206</end>
      <status>unmodified</status>
      <modifiedWord/>
      <trackRevisions>false</trackRevisions>
    </reviewItem>
    <reviewItem>
      <errorID>900788eb-ce5c-4db9-ba24-5ea24c2f5de4</errorID>
      <errorWord>,</errorWord>
      <group>L1_Format</group>
      <groupName>格式问题</groupName>
      <ability>L2_HalfPunc</ability>
      <abilityName>全半角检查</abilityName>
      <candidateList>
        <item>，</item>
      </candidateList>
      <explain>文本全半角错误。</explain>
      <paraID>6C2C2AC1</paraID>
      <start>341</start>
      <end>342</end>
      <status>unmodified</status>
      <modifiedWord/>
      <trackRevisions>false</trackRevisions>
    </reviewItem>
    <reviewItem>
      <errorID>e19a8253-1338-4b1d-90bf-5442d8b837ad</errorID>
      <errorWord>,</errorWord>
      <group>L1_Format</group>
      <groupName>格式问题</groupName>
      <ability>L2_HalfPunc</ability>
      <abilityName>全半角检查</abilityName>
      <candidateList>
        <item>，</item>
      </candidateList>
      <explain>文本全半角错误。</explain>
      <paraID>6C2C2AC1</paraID>
      <start>364</start>
      <end>365</end>
      <status>unmodified</status>
      <modifiedWord/>
      <trackRevisions>false</trackRevisions>
    </reviewItem>
    <reviewItem>
      <errorID>685ba638-bc1b-477b-a678-399140a7e330</errorID>
      <errorWord>,</errorWord>
      <group>L1_Format</group>
      <groupName>格式问题</groupName>
      <ability>L2_HalfPunc</ability>
      <abilityName>全半角检查</abilityName>
      <candidateList>
        <item>，</item>
      </candidateList>
      <explain>文本全半角错误。</explain>
      <paraID>6C2C2AC1</paraID>
      <start>807</start>
      <end>808</end>
      <status>unmodified</status>
      <modifiedWord/>
      <trackRevisions>false</trackRevisions>
    </reviewItem>
    <reviewItem>
      <errorID>5c66e406-f279-4866-b407-9c1d6b936420</errorID>
      <errorWord>.</errorWord>
      <group>L1_Format</group>
      <groupName>格式问题</groupName>
      <ability>L2_HalfPunc</ability>
      <abilityName>全半角检查</abilityName>
      <candidateList>
        <item>。</item>
      </candidateList>
      <explain>文本全半角错误。</explain>
      <paraID>6C2C2AC1</paraID>
      <start>1319</start>
      <end>1320</end>
      <status>unmodified</status>
      <modifiedWord/>
      <trackRevisions>false</trackRevisions>
    </reviewItem>
    <reviewItem>
      <errorID>c572b3a1-660f-4ae1-a3ac-ead009b1b080</errorID>
      <errorWord>:</errorWord>
      <group>L1_Format</group>
      <groupName>格式问题</groupName>
      <ability>L2_HalfPunc</ability>
      <abilityName>全半角检查</abilityName>
      <candidateList>
        <item>：</item>
      </candidateList>
      <explain>文本全半角错误。</explain>
      <paraID>6C2C2AC1</paraID>
      <start>2002</start>
      <end>2003</end>
      <status>unmodified</status>
      <modifiedWord/>
      <trackRevisions>false</trackRevisions>
    </reviewItem>
    <reviewItem>
      <errorID>a783de5d-7789-4f78-8ac2-a93b48c5ecd2</errorID>
      <errorWord>:</errorWord>
      <group>L1_Format</group>
      <groupName>格式问题</groupName>
      <ability>L2_HalfPunc</ability>
      <abilityName>全半角检查</abilityName>
      <candidateList>
        <item>：</item>
      </candidateList>
      <explain>文本全半角错误。</explain>
      <paraID>6C2C2AC1</paraID>
      <start>2023</start>
      <end>2024</end>
      <status>unmodified</status>
      <modifiedWord/>
      <trackRevisions>false</trackRevisions>
    </reviewItem>
    <reviewItem>
      <errorID>4af61898-735e-4e11-8636-1383703a37b6</errorID>
      <errorWord>:</errorWord>
      <group>L1_Format</group>
      <groupName>格式问题</groupName>
      <ability>L2_HalfPunc</ability>
      <abilityName>全半角检查</abilityName>
      <candidateList>
        <item>：</item>
      </candidateList>
      <explain>文本全半角错误。</explain>
      <paraID>6C2C2AC1</paraID>
      <start>2043</start>
      <end>2044</end>
      <status>unmodified</status>
      <modifiedWord/>
      <trackRevisions>false</trackRevisions>
    </reviewItem>
    <reviewItem>
      <errorID>faee17bb-2223-4823-8f9c-3505d944b78e</errorID>
      <errorWord>:</errorWord>
      <group>L1_Format</group>
      <groupName>格式问题</groupName>
      <ability>L2_HalfPunc</ability>
      <abilityName>全半角检查</abilityName>
      <candidateList>
        <item>：</item>
      </candidateList>
      <explain>文本全半角错误。</explain>
      <paraID>6C2C2AC1</paraID>
      <start>2078</start>
      <end>2079</end>
      <status>unmodified</status>
      <modifiedWord/>
      <trackRevisions>false</trackRevisions>
    </reviewItem>
    <reviewItem>
      <errorID>c91f86ba-51db-4910-bc55-785ea83f32d9</errorID>
      <errorWord>:</errorWord>
      <group>L1_Format</group>
      <groupName>格式问题</groupName>
      <ability>L2_HalfPunc</ability>
      <abilityName>全半角检查</abilityName>
      <candidateList>
        <item>：</item>
      </candidateList>
      <explain>文本全半角错误。</explain>
      <paraID>6C2C2AC1</paraID>
      <start>2100</start>
      <end>2101</end>
      <status>unmodified</status>
      <modifiedWord/>
      <trackRevisions>false</trackRevisions>
    </reviewItem>
    <reviewItem>
      <errorID>37e743a7-8d25-43dc-8463-6f0739973feb</errorID>
      <errorWord>:</errorWord>
      <group>L1_Format</group>
      <groupName>格式问题</groupName>
      <ability>L2_HalfPunc</ability>
      <abilityName>全半角检查</abilityName>
      <candidateList>
        <item>：</item>
      </candidateList>
      <explain>文本全半角错误。</explain>
      <paraID>6C2C2AC1</paraID>
      <start>2119</start>
      <end>2120</end>
      <status>unmodified</status>
      <modifiedWord/>
      <trackRevisions>false</trackRevisions>
    </reviewItem>
    <reviewItem>
      <errorID>61a64b8c-109a-4c12-b087-9a9d0907e12b</errorID>
      <errorWord>:</errorWord>
      <group>L1_Format</group>
      <groupName>格式问题</groupName>
      <ability>L2_HalfPunc</ability>
      <abilityName>全半角检查</abilityName>
      <candidateList>
        <item>：</item>
      </candidateList>
      <explain>文本全半角错误。</explain>
      <paraID>6C2C2AC1</paraID>
      <start>2145</start>
      <end>2146</end>
      <status>unmodified</status>
      <modifiedWord/>
      <trackRevisions>false</trackRevisions>
    </reviewItem>
    <reviewItem>
      <errorID>7cd2c912-2962-48a4-80f7-d655fcaa2f62</errorID>
      <errorWord>:</errorWord>
      <group>L1_Format</group>
      <groupName>格式问题</groupName>
      <ability>L2_HalfPunc</ability>
      <abilityName>全半角检查</abilityName>
      <candidateList>
        <item>：</item>
      </candidateList>
      <explain>文本全半角错误。</explain>
      <paraID>6C2C2AC1</paraID>
      <start>2162</start>
      <end>2163</end>
      <status>unmodified</status>
      <modifiedWord/>
      <trackRevisions>false</trackRevisions>
    </reviewItem>
    <reviewItem>
      <errorID>2466a6a3-a4ba-4d73-8eea-12aad3bcfc6b</errorID>
      <errorWord>:</errorWord>
      <group>L1_Format</group>
      <groupName>格式问题</groupName>
      <ability>L2_HalfPunc</ability>
      <abilityName>全半角检查</abilityName>
      <candidateList>
        <item>：</item>
      </candidateList>
      <explain>文本全半角错误。</explain>
      <paraID>6C2C2AC1</paraID>
      <start>2187</start>
      <end>2188</end>
      <status>unmodified</status>
      <modifiedWord/>
      <trackRevisions>false</trackRevisions>
    </reviewItem>
    <reviewItem>
      <errorID>11159ff0-aa8d-4967-86ce-52ebd18bf9e2</errorID>
      <errorWord>:</errorWord>
      <group>L1_Format</group>
      <groupName>格式问题</groupName>
      <ability>L2_HalfPunc</ability>
      <abilityName>全半角检查</abilityName>
      <candidateList>
        <item>：</item>
      </candidateList>
      <explain>文本全半角错误。</explain>
      <paraID>6C2C2AC1</paraID>
      <start>2211</start>
      <end>2212</end>
      <status>unmodified</status>
      <modifiedWord/>
      <trackRevisions>false</trackRevisions>
    </reviewItem>
    <reviewItem>
      <errorID>14ea20dc-53c6-4c3e-a25d-9038bcae1998</errorID>
      <errorWord>:</errorWord>
      <group>L1_Format</group>
      <groupName>格式问题</groupName>
      <ability>L2_HalfPunc</ability>
      <abilityName>全半角检查</abilityName>
      <candidateList>
        <item>：</item>
      </candidateList>
      <explain>文本全半角错误。</explain>
      <paraID>6C2C2AC1</paraID>
      <start>2232</start>
      <end>2233</end>
      <status>unmodified</status>
      <modifiedWord/>
      <trackRevisions>false</trackRevisions>
    </reviewItem>
    <reviewItem>
      <errorID>1c8e5348-45b8-4a0e-848d-dc6b9d4cbe4f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166B6611</paraID>
      <start>0</start>
      <end>2</end>
      <status>unmodified</status>
      <modifiedWord/>
      <trackRevisions>false</trackRevisions>
    </reviewItem>
    <reviewItem>
      <errorID>07f34027-debe-4a17-8afe-f612e8556650</errorID>
      <errorWord>,</errorWord>
      <group>L1_Format</group>
      <groupName>格式问题</groupName>
      <ability>L2_HalfPunc</ability>
      <abilityName>全半角检查</abilityName>
      <candidateList>
        <item>，</item>
      </candidateList>
      <explain>文本全半角错误。</explain>
      <paraID>166B6611</paraID>
      <start>321</start>
      <end>322</end>
      <status>unmodified</status>
      <modifiedWord/>
      <trackRevisions>false</trackRevisions>
    </reviewItem>
    <reviewItem>
      <errorID>a3ee367a-7ffb-4de8-978a-8fb235e0d358</errorID>
      <errorWord>,</errorWord>
      <group>L1_Format</group>
      <groupName>格式问题</groupName>
      <ability>L2_HalfPunc</ability>
      <abilityName>全半角检查</abilityName>
      <candidateList>
        <item>，</item>
      </candidateList>
      <explain>文本全半角错误。</explain>
      <paraID>166B6611</paraID>
      <start>325</start>
      <end>326</end>
      <status>unmodified</status>
      <modifiedWord/>
      <trackRevisions>false</trackRevisions>
    </reviewItem>
    <reviewItem>
      <errorID>910d0456-828c-42cc-ab60-73362349d6e4</errorID>
      <errorWord>,</errorWord>
      <group>L1_Format</group>
      <groupName>格式问题</groupName>
      <ability>L2_HalfPunc</ability>
      <abilityName>全半角检查</abilityName>
      <candidateList>
        <item>，</item>
      </candidateList>
      <explain>文本全半角错误。</explain>
      <paraID>166B6611</paraID>
      <start>340</start>
      <end>341</end>
      <status>unmodified</status>
      <modifiedWord/>
      <trackRevisions>false</trackRevisions>
    </reviewItem>
    <reviewItem>
      <errorID>19258d33-ec2b-4969-a47d-94ae8f5aa5fe</errorID>
      <errorWord>(</errorWord>
      <group>L1_Format</group>
      <groupName>格式问题</groupName>
      <ability>L2_HalfPunc</ability>
      <abilityName>全半角检查</abilityName>
      <candidateList>
        <item>（</item>
      </candidateList>
      <explain>文本全半角错误。</explain>
      <paraID>166B6611</paraID>
      <start>1035</start>
      <end>1036</end>
      <status>unmodified</status>
      <modifiedWord/>
      <trackRevisions>false</trackRevisions>
    </reviewItem>
    <reviewItem>
      <errorID>28bcb64e-d977-45a0-bd5d-9ab5fab52fef</errorID>
      <errorWord>)</errorWord>
      <group>L1_Format</group>
      <groupName>格式问题</groupName>
      <ability>L2_HalfPunc</ability>
      <abilityName>全半角检查</abilityName>
      <candidateList>
        <item>）</item>
      </candidateList>
      <explain>文本全半角错误。</explain>
      <paraID>166B6611</paraID>
      <start>1039</start>
      <end>1040</end>
      <status>unmodified</status>
      <modifiedWord/>
      <trackRevisions>false</trackRevisions>
    </reviewItem>
    <reviewItem>
      <errorID>540b3a51-737e-402d-84b1-649976707e8b</errorID>
      <errorWord>:</errorWord>
      <group>L1_Format</group>
      <groupName>格式问题</groupName>
      <ability>L2_HalfPunc</ability>
      <abilityName>全半角检查</abilityName>
      <candidateList>
        <item>：</item>
      </candidateList>
      <explain>文本全半角错误。</explain>
      <paraID>166B6611</paraID>
      <start>1086</start>
      <end>1087</end>
      <status>unmodified</status>
      <modifiedWord/>
      <trackRevisions>false</trackRevisions>
    </reviewItem>
    <reviewItem>
      <errorID>ded6c76a-6a94-48db-a454-f8d373e5e9b9</errorID>
      <errorWord>)</errorWord>
      <group>L1_Format</group>
      <groupName>格式问题</groupName>
      <ability>L2_HalfPunc</ability>
      <abilityName>全半角检查</abilityName>
      <candidateList>
        <item>）</item>
      </candidateList>
      <explain>文本全半角错误。</explain>
      <paraID>166B6611</paraID>
      <start>1327</start>
      <end>1328</end>
      <status>unmodified</status>
      <modifiedWord/>
      <trackRevisions>false</trackRevisions>
    </reviewItem>
    <reviewItem>
      <errorID>d438c2f4-ab3d-4bf5-9b94-68d6fe175ab4</errorID>
      <errorWord>(</errorWord>
      <group>L1_Format</group>
      <groupName>格式问题</groupName>
      <ability>L2_HalfPunc</ability>
      <abilityName>全半角检查</abilityName>
      <candidateList>
        <item>（</item>
      </candidateList>
      <explain>文本全半角错误。</explain>
      <paraID>166B6611</paraID>
      <start>1467</start>
      <end>1468</end>
      <status>unmodified</status>
      <modifiedWord/>
      <trackRevisions>false</trackRevisions>
    </reviewItem>
    <reviewItem>
      <errorID>59ae838f-5968-4bc1-9e7e-9955368ed628</errorID>
      <errorWord>)</errorWord>
      <group>L1_Format</group>
      <groupName>格式问题</groupName>
      <ability>L2_HalfPunc</ability>
      <abilityName>全半角检查</abilityName>
      <candidateList>
        <item>）</item>
      </candidateList>
      <explain>文本全半角错误。</explain>
      <paraID>166B6611</paraID>
      <start>1472</start>
      <end>1473</end>
      <status>unmodified</status>
      <modifiedWord/>
      <trackRevisions>false</trackRevisions>
    </reviewItem>
    <reviewItem>
      <errorID>e752a97d-f0dc-40c5-b4ad-932c49fbb89b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5445465D</paraID>
      <start>0</start>
      <end>2</end>
      <status>unmodified</status>
      <modifiedWord/>
      <trackRevisions>false</trackRevisions>
    </reviewItem>
    <reviewItem>
      <errorID>b0dc479e-0efb-403a-9002-52bcaf595c14</errorID>
      <errorWord>:</errorWord>
      <group>L1_Format</group>
      <groupName>格式问题</groupName>
      <ability>L2_HalfPunc</ability>
      <abilityName>全半角检查</abilityName>
      <candidateList>
        <item>：</item>
      </candidateList>
      <explain>文本全半角错误。</explain>
      <paraID>5445465D</paraID>
      <start>844</start>
      <end>845</end>
      <status>unmodified</status>
      <modifiedWord/>
      <trackRevisions>false</trackRevisions>
    </reviewItem>
    <reviewItem>
      <errorID>18a131bb-540f-416d-9c00-a8fa8e226c86</errorID>
      <errorWord>:</errorWord>
      <group>L1_Format</group>
      <groupName>格式问题</groupName>
      <ability>L2_HalfPunc</ability>
      <abilityName>全半角检查</abilityName>
      <candidateList>
        <item>：</item>
      </candidateList>
      <explain>文本全半角错误。</explain>
      <paraID>5445465D</paraID>
      <start>864</start>
      <end>865</end>
      <status>unmodified</status>
      <modifiedWord/>
      <trackRevisions>false</trackRevisions>
    </reviewItem>
    <reviewItem>
      <errorID>d9482ebe-e670-4251-8fc2-5bcdb1a6459b</errorID>
      <errorWord>:</errorWord>
      <group>L1_Format</group>
      <groupName>格式问题</groupName>
      <ability>L2_HalfPunc</ability>
      <abilityName>全半角检查</abilityName>
      <candidateList>
        <item>：</item>
      </candidateList>
      <explain>文本全半角错误。</explain>
      <paraID>5445465D</paraID>
      <start>879</start>
      <end>880</end>
      <status>unmodified</status>
      <modifiedWord/>
      <trackRevisions>false</trackRevisions>
    </reviewItem>
    <reviewItem>
      <errorID>6d73ca17-c186-4f7a-9b6a-d8feae8d5bb8</errorID>
      <errorWord>:</errorWord>
      <group>L1_Format</group>
      <groupName>格式问题</groupName>
      <ability>L2_HalfPunc</ability>
      <abilityName>全半角检查</abilityName>
      <candidateList>
        <item>：</item>
      </candidateList>
      <explain>文本全半角错误。</explain>
      <paraID>5445465D</paraID>
      <start>906</start>
      <end>907</end>
      <status>unmodified</status>
      <modifiedWord/>
      <trackRevisions>false</trackRevisions>
    </reviewItem>
    <reviewItem>
      <errorID>568cc2e1-95c8-4064-89e3-deca8c2014f8</errorID>
      <errorWord>:</errorWord>
      <group>L1_Format</group>
      <groupName>格式问题</groupName>
      <ability>L2_HalfPunc</ability>
      <abilityName>全半角检查</abilityName>
      <candidateList>
        <item>：</item>
      </candidateList>
      <explain>文本全半角错误。</explain>
      <paraID>5445465D</paraID>
      <start>926</start>
      <end>927</end>
      <status>unmodified</status>
      <modifiedWord/>
      <trackRevisions>false</trackRevisions>
    </reviewItem>
    <reviewItem>
      <errorID>2e6c147e-44ff-4a34-8d92-e0a22a276168</errorID>
      <errorWord>:</errorWord>
      <group>L1_Format</group>
      <groupName>格式问题</groupName>
      <ability>L2_HalfPunc</ability>
      <abilityName>全半角检查</abilityName>
      <candidateList>
        <item>：</item>
      </candidateList>
      <explain>文本全半角错误。</explain>
      <paraID>5445465D</paraID>
      <start>954</start>
      <end>955</end>
      <status>unmodified</status>
      <modifiedWord/>
      <trackRevisions>false</trackRevisions>
    </reviewItem>
    <reviewItem>
      <errorID>8491060a-d988-42aa-b783-e4343290cf2e</errorID>
      <errorWord>:</errorWord>
      <group>L1_Format</group>
      <groupName>格式问题</groupName>
      <ability>L2_HalfPunc</ability>
      <abilityName>全半角检查</abilityName>
      <candidateList>
        <item>：</item>
      </candidateList>
      <explain>文本全半角错误。</explain>
      <paraID>5445465D</paraID>
      <start>982</start>
      <end>983</end>
      <status>unmodified</status>
      <modifiedWord/>
      <trackRevisions>false</trackRevisions>
    </reviewItem>
    <reviewItem>
      <errorID>a1e1285f-9a0a-41c7-9c23-5d498f422f05</errorID>
      <errorWord>:</errorWord>
      <group>L1_Format</group>
      <groupName>格式问题</groupName>
      <ability>L2_HalfPunc</ability>
      <abilityName>全半角检查</abilityName>
      <candidateList>
        <item>：</item>
      </candidateList>
      <explain>文本全半角错误。</explain>
      <paraID>5445465D</paraID>
      <start>1007</start>
      <end>1008</end>
      <status>unmodified</status>
      <modifiedWord/>
      <trackRevisions>false</trackRevisions>
    </reviewItem>
    <reviewItem>
      <errorID>96a23580-7300-4ace-b2bf-95b1427bb8de</errorID>
      <errorWord>:</errorWord>
      <group>L1_Format</group>
      <groupName>格式问题</groupName>
      <ability>L2_HalfPunc</ability>
      <abilityName>全半角检查</abilityName>
      <candidateList>
        <item>：</item>
      </candidateList>
      <explain>文本全半角错误。</explain>
      <paraID>5445465D</paraID>
      <start>1035</start>
      <end>1036</end>
      <status>unmodified</status>
      <modifiedWord/>
      <trackRevisions>false</trackRevisions>
    </reviewItem>
    <reviewItem>
      <errorID>2c59ee82-f777-4046-ade0-bcb344cdb250</errorID>
      <errorWord>:</errorWord>
      <group>L1_Format</group>
      <groupName>格式问题</groupName>
      <ability>L2_HalfPunc</ability>
      <abilityName>全半角检查</abilityName>
      <candidateList>
        <item>：</item>
      </candidateList>
      <explain>文本全半角错误。</explain>
      <paraID>5445465D</paraID>
      <start>1053</start>
      <end>1054</end>
      <status>unmodified</status>
      <modifiedWord/>
      <trackRevisions>false</trackRevisions>
    </reviewItem>
    <reviewItem>
      <errorID>2a57ef2a-cc63-4ad4-887c-642b3d09bcb7</errorID>
      <errorWord>:</errorWord>
      <group>L1_Format</group>
      <groupName>格式问题</groupName>
      <ability>L2_HalfPunc</ability>
      <abilityName>全半角检查</abilityName>
      <candidateList>
        <item>：</item>
      </candidateList>
      <explain>文本全半角错误。</explain>
      <paraID>5445465D</paraID>
      <start>1076</start>
      <end>1077</end>
      <status>unmodified</status>
      <modifiedWord/>
      <trackRevisions>false</trackRevisions>
    </reviewItem>
    <reviewItem>
      <errorID>fff67d0c-5dc5-4f28-bc9f-ba2b8cbaae89</errorID>
      <errorWord>:</errorWord>
      <group>L1_Format</group>
      <groupName>格式问题</groupName>
      <ability>L2_HalfPunc</ability>
      <abilityName>全半角检查</abilityName>
      <candidateList>
        <item>：</item>
      </candidateList>
      <explain>文本全半角错误。</explain>
      <paraID>5445465D</paraID>
      <start>1100</start>
      <end>1101</end>
      <status>unmodified</status>
      <modifiedWord/>
      <trackRevisions>false</trackRevisions>
    </reviewItem>
    <reviewItem>
      <errorID>9b4247b1-9ee3-4936-9199-2500831f7f6b</errorID>
      <errorWord>:</errorWord>
      <group>L1_Format</group>
      <groupName>格式问题</groupName>
      <ability>L2_HalfPunc</ability>
      <abilityName>全半角检查</abilityName>
      <candidateList>
        <item>：</item>
      </candidateList>
      <explain>文本全半角错误。</explain>
      <paraID>5445465D</paraID>
      <start>1120</start>
      <end>1121</end>
      <status>unmodified</status>
      <modifiedWord/>
      <trackRevisions>false</trackRevisions>
    </reviewItem>
    <reviewItem>
      <errorID>1260519c-dc43-4ddf-bf4c-e37b882e322c</errorID>
      <errorWord>~</errorWord>
      <group>L1_Format</group>
      <groupName>格式问题</groupName>
      <ability>L2_HalfPunc</ability>
      <abilityName>全半角检查</abilityName>
      <candidateList>
        <item>～</item>
      </candidateList>
      <explain>文本全半角错误。</explain>
      <paraID>5445465D</paraID>
      <start>1125</start>
      <end>1126</end>
      <status>unmodified</status>
      <modifiedWord/>
      <trackRevisions>false</trackRevisions>
    </reviewItem>
    <reviewItem>
      <errorID>af60a132-5d81-4b37-82e7-26af37c77860</errorID>
      <errorWord>:</errorWord>
      <group>L1_Format</group>
      <groupName>格式问题</groupName>
      <ability>L2_HalfPunc</ability>
      <abilityName>全半角检查</abilityName>
      <candidateList>
        <item>：</item>
      </candidateList>
      <explain>文本全半角错误。</explain>
      <paraID>5445465D</paraID>
      <start>1144</start>
      <end>1145</end>
      <status>unmodified</status>
      <modifiedWord/>
      <trackRevisions>false</trackRevisions>
    </reviewItem>
    <reviewItem>
      <errorID>b0fc50d3-0d09-4b6c-9e5f-68d87763973e</errorID>
      <errorWord>:</errorWord>
      <group>L1_Format</group>
      <groupName>格式问题</groupName>
      <ability>L2_HalfPunc</ability>
      <abilityName>全半角检查</abilityName>
      <candidateList>
        <item>：</item>
      </candidateList>
      <explain>文本全半角错误。</explain>
      <paraID>5445465D</paraID>
      <start>1164</start>
      <end>1165</end>
      <status>unmodified</status>
      <modifiedWord/>
      <trackRevisions>false</trackRevisions>
    </reviewItem>
    <reviewItem>
      <errorID>476d9d01-8a6b-4d5d-893d-43c75c3d3449</errorID>
      <errorWord>(</errorWord>
      <group>L1_Format</group>
      <groupName>格式问题</groupName>
      <ability>L2_HalfPunc</ability>
      <abilityName>全半角检查</abilityName>
      <candidateList>
        <item>（</item>
      </candidateList>
      <explain>文本全半角错误。</explain>
      <paraID>5445465D</paraID>
      <start>1172</start>
      <end>1173</end>
      <status>unmodified</status>
      <modifiedWord/>
      <trackRevisions>false</trackRevisions>
    </reviewItem>
    <reviewItem>
      <errorID>89e70d90-4ebe-419a-b598-4d2c5af5f5e1</errorID>
      <errorWord>)</errorWord>
      <group>L1_Format</group>
      <groupName>格式问题</groupName>
      <ability>L2_HalfPunc</ability>
      <abilityName>全半角检查</abilityName>
      <candidateList>
        <item>）</item>
      </candidateList>
      <explain>文本全半角错误。</explain>
      <paraID>5445465D</paraID>
      <start>1177</start>
      <end>1178</end>
      <status>unmodified</status>
      <modifiedWord/>
      <trackRevisions>false</trackRevisions>
    </reviewItem>
    <reviewItem>
      <errorID>be1fd6dd-f7fb-440f-bb58-786bc4c0034f</errorID>
      <errorWord>:</errorWord>
      <group>L1_Format</group>
      <groupName>格式问题</groupName>
      <ability>L2_HalfPunc</ability>
      <abilityName>全半角检查</abilityName>
      <candidateList>
        <item>：</item>
      </candidateList>
      <explain>文本全半角错误。</explain>
      <paraID>5445465D</paraID>
      <start>1190</start>
      <end>1191</end>
      <status>unmodified</status>
      <modifiedWord/>
      <trackRevisions>false</trackRevisions>
    </reviewItem>
    <reviewItem>
      <errorID>7efb8a7c-4640-4cbc-baf9-bbbcb407edd8</errorID>
      <errorWord>:</errorWord>
      <group>L1_Format</group>
      <groupName>格式问题</groupName>
      <ability>L2_HalfPunc</ability>
      <abilityName>全半角检查</abilityName>
      <candidateList>
        <item>：</item>
      </candidateList>
      <explain>文本全半角错误。</explain>
      <paraID>5445465D</paraID>
      <start>1222</start>
      <end>1223</end>
      <status>unmodified</status>
      <modifiedWord/>
      <trackRevisions>false</trackRevisions>
    </reviewItem>
    <reviewItem>
      <errorID>72fd59e8-542a-4c94-b692-3a290b38ab09</errorID>
      <errorWord>(</errorWord>
      <group>L1_Format</group>
      <groupName>格式问题</groupName>
      <ability>L2_HalfPunc</ability>
      <abilityName>全半角检查</abilityName>
      <candidateList>
        <item>（</item>
      </candidateList>
      <explain>文本全半角错误。</explain>
      <paraID>5445465D</paraID>
      <start>1264</start>
      <end>1265</end>
      <status>unmodified</status>
      <modifiedWord/>
      <trackRevisions>false</trackRevisions>
    </reviewItem>
    <reviewItem>
      <errorID>5ff2e4e6-d091-4e14-a1fb-93628d47d25d</errorID>
      <errorWord>:</errorWord>
      <group>L1_Format</group>
      <groupName>格式问题</groupName>
      <ability>L2_HalfPunc</ability>
      <abilityName>全半角检查</abilityName>
      <candidateList>
        <item>：</item>
      </candidateList>
      <explain>文本全半角错误。</explain>
      <paraID>5445465D</paraID>
      <start>1296</start>
      <end>1297</end>
      <status>unmodified</status>
      <modifiedWord/>
      <trackRevisions>false</trackRevisions>
    </reviewItem>
    <reviewItem>
      <errorID>d57fee72-86b4-4149-b721-c3afdccea436</errorID>
      <errorWord>(</errorWord>
      <group>L1_Format</group>
      <groupName>格式问题</groupName>
      <ability>L2_HalfPunc</ability>
      <abilityName>全半角检查</abilityName>
      <candidateList>
        <item>（</item>
      </candidateList>
      <explain>文本全半角错误。</explain>
      <paraID>5445465D</paraID>
      <start>1359</start>
      <end>1360</end>
      <status>unmodified</status>
      <modifiedWord/>
      <trackRevisions>false</trackRevisions>
    </reviewItem>
    <reviewItem>
      <errorID>bc9dbb7c-015b-4fc3-afa5-19685b31ace8</errorID>
      <errorWord>)</errorWord>
      <group>L1_Format</group>
      <groupName>格式问题</groupName>
      <ability>L2_HalfPunc</ability>
      <abilityName>全半角检查</abilityName>
      <candidateList>
        <item>）</item>
      </candidateList>
      <explain>文本全半角错误。</explain>
      <paraID>5445465D</paraID>
      <start>1364</start>
      <end>1365</end>
      <status>unmodified</status>
      <modifiedWord/>
      <trackRevisions>false</trackRevisions>
    </reviewItem>
    <reviewItem>
      <errorID>0dfad025-81e6-42c1-a073-364e6e0a7188</errorID>
      <errorWord>:</errorWord>
      <group>L1_Format</group>
      <groupName>格式问题</groupName>
      <ability>L2_HalfPunc</ability>
      <abilityName>全半角检查</abilityName>
      <candidateList>
        <item>：</item>
      </candidateList>
      <explain>文本全半角错误。</explain>
      <paraID>5445465D</paraID>
      <start>1375</start>
      <end>1376</end>
      <status>unmodified</status>
      <modifiedWord/>
      <trackRevisions>false</trackRevisions>
    </reviewItem>
    <reviewItem>
      <errorID>029b20ea-8c08-45f7-945b-2135b8966f7b</errorID>
      <errorWord>:</errorWord>
      <group>L1_Format</group>
      <groupName>格式问题</groupName>
      <ability>L2_HalfPunc</ability>
      <abilityName>全半角检查</abilityName>
      <candidateList>
        <item>：</item>
      </candidateList>
      <explain>文本全半角错误。</explain>
      <paraID>5445465D</paraID>
      <start>1393</start>
      <end>1394</end>
      <status>unmodified</status>
      <modifiedWord/>
      <trackRevisions>false</trackRevisions>
    </reviewItem>
    <reviewItem>
      <errorID>51166349-605a-4ea9-89fb-d217b56cc4e7</errorID>
      <errorWord>(</errorWord>
      <group>L1_Format</group>
      <groupName>格式问题</groupName>
      <ability>L2_HalfPunc</ability>
      <abilityName>全半角检查</abilityName>
      <candidateList>
        <item>（</item>
      </candidateList>
      <explain>文本全半角错误。</explain>
      <paraID>5445465D</paraID>
      <start>4668</start>
      <end>4669</end>
      <status>unmodified</status>
      <modifiedWord/>
      <trackRevisions>false</trackRevisions>
    </reviewItem>
    <reviewItem>
      <errorID>8656c4ef-21ea-4355-a5a5-14c7d47c7758</errorID>
      <errorWord>、)</errorWord>
      <group>L1_Punc</group>
      <groupName>标点问题</groupName>
      <ability>L2_Punc</ability>
      <abilityName>标点符号检查</abilityName>
      <candidateList>
        <item>)</item>
      </candidateList>
      <explain/>
      <paraID>5445465D</paraID>
      <start>4690</start>
      <end>4692</end>
      <status>unmodified</status>
      <modifiedWord/>
      <trackRevisions>false</trackRevisions>
    </reviewItem>
    <reviewItem>
      <errorID>6e2b5620-1b95-4870-af7c-86e4cad76779</errorID>
      <errorWord>.</errorWord>
      <group>L1_Format</group>
      <groupName>格式问题</groupName>
      <ability>L2_HalfPunc</ability>
      <abilityName>全半角检查</abilityName>
      <candidateList>
        <item>。</item>
      </candidateList>
      <explain>文本全半角错误。</explain>
      <paraID>5445465D</paraID>
      <start>4708</start>
      <end>4709</end>
      <status>unmodified</status>
      <modifiedWord/>
      <trackRevisions>false</trackRevisions>
    </reviewItem>
    <reviewItem>
      <errorID>32e52213-7306-4985-9bf5-d2cb6c437e54</errorID>
      <errorWord>.</errorWord>
      <group>L1_Format</group>
      <groupName>格式问题</groupName>
      <ability>L2_HalfPunc</ability>
      <abilityName>全半角检查</abilityName>
      <candidateList>
        <item>。</item>
      </candidateList>
      <explain>文本全半角错误。</explain>
      <paraID>5445465D</paraID>
      <start>4711</start>
      <end>4712</end>
      <status>unmodified</status>
      <modifiedWord/>
      <trackRevisions>false</trackRevisions>
    </reviewItem>
    <reviewItem>
      <errorID>85384af7-a410-443b-a16c-3e47bd6e5e43</errorID>
      <errorWord>.</errorWord>
      <group>L1_Format</group>
      <groupName>格式问题</groupName>
      <ability>L2_HalfPunc</ability>
      <abilityName>全半角检查</abilityName>
      <candidateList>
        <item>。</item>
      </candidateList>
      <explain>文本全半角错误。</explain>
      <paraID>5445465D</paraID>
      <start>4714</start>
      <end>4715</end>
      <status>unmodified</status>
      <modifiedWord/>
      <trackRevisions>false</trackRevisions>
    </reviewItem>
    <reviewItem>
      <errorID>2c75ba3b-a3bd-482d-9bf7-716f26c1f413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66F4F381</paraID>
      <start>0</start>
      <end>2</end>
      <status>unmodified</status>
      <modifiedWord/>
      <trackRevisions>false</trackRevisions>
    </reviewItem>
    <reviewItem>
      <errorID>5749fb97-3f4d-429e-869b-438062d86142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66F4F381</paraID>
      <start>647</start>
      <end>648</end>
      <status>unmodified</status>
      <modifiedWord/>
      <trackRevisions>false</trackRevisions>
    </reviewItem>
    <reviewItem>
      <errorID>319fce0e-a122-4798-9b4a-12e1f5e14ccc</errorID>
      <errorWord>,</errorWord>
      <group>L1_Format</group>
      <groupName>格式问题</groupName>
      <ability>L2_HalfPunc</ability>
      <abilityName>全半角检查</abilityName>
      <candidateList>
        <item>，</item>
      </candidateList>
      <explain>文本全半角错误。</explain>
      <paraID>1616182F</paraID>
      <start>1310</start>
      <end>1311</end>
      <status>unmodified</status>
      <modifiedWord/>
      <trackRevisions>false</trackRevisions>
    </reviewItem>
    <reviewItem>
      <errorID>50aacb73-c787-44e1-9cdc-4a12ca196223</errorID>
      <errorWord>(</errorWord>
      <group>L1_Format</group>
      <groupName>格式问题</groupName>
      <ability>L2_HalfPunc</ability>
      <abilityName>全半角检查</abilityName>
      <candidateList>
        <item>（</item>
      </candidateList>
      <explain>文本全半角错误。</explain>
      <paraID>43B46AD8</paraID>
      <start>855</start>
      <end>856</end>
      <status>unmodified</status>
      <modifiedWord/>
      <trackRevisions>false</trackRevisions>
    </reviewItem>
    <reviewItem>
      <errorID>8b88874f-acff-4f4f-aa9c-4267976d2c43</errorID>
      <errorWord>)</errorWord>
      <group>L1_Format</group>
      <groupName>格式问题</groupName>
      <ability>L2_HalfPunc</ability>
      <abilityName>全半角检查</abilityName>
      <candidateList>
        <item>）</item>
      </candidateList>
      <explain>文本全半角错误。</explain>
      <paraID>43B46AD8</paraID>
      <start>860</start>
      <end>861</end>
      <status>unmodified</status>
      <modifiedWord/>
      <trackRevisions>false</trackRevisions>
    </reviewItem>
    <reviewItem>
      <errorID>5c1ee7c0-6a6b-4efe-b2e1-69e3bf194f7c</errorID>
      <errorWord>"</errorWord>
      <group>L1_Format</group>
      <groupName>格式问题</groupName>
      <ability>L2_HalfPunc</ability>
      <abilityName>全半角检查</abilityName>
      <candidateList>
        <item>“</item>
      </candidateList>
      <explain>文本全半角错误。</explain>
      <paraID>43B46AD8</paraID>
      <start>3329</start>
      <end>3330</end>
      <status>unmodified</status>
      <modifiedWord/>
      <trackRevisions>false</trackRevisions>
    </reviewItem>
    <reviewItem>
      <errorID>c4d2f698-d0a1-45dc-be94-3836468d8fb2</errorID>
      <errorWord>"</errorWord>
      <group>L1_Format</group>
      <groupName>格式问题</groupName>
      <ability>L2_HalfPunc</ability>
      <abilityName>全半角检查</abilityName>
      <candidateList>
        <item>”</item>
      </candidateList>
      <explain>文本全半角错误。</explain>
      <paraID>43B46AD8</paraID>
      <start>3344</start>
      <end>3345</end>
      <status>unmodified</status>
      <modifiedWord/>
      <trackRevisions>false</trackRevisions>
    </reviewItem>
    <reviewItem>
      <errorID>34fd9a78-5c95-4db5-bf3e-a33125ef14c7</errorID>
      <errorWord>)</errorWord>
      <group>L1_Format</group>
      <groupName>格式问题</groupName>
      <ability>L2_HalfPunc</ability>
      <abilityName>全半角检查</abilityName>
      <candidateList>
        <item>）</item>
      </candidateList>
      <explain>文本全半角错误。</explain>
      <paraID>3EBCA9A0</paraID>
      <start>881</start>
      <end>882</end>
      <status>unmodified</status>
      <modifiedWord/>
      <trackRevisions>false</trackRevisions>
    </reviewItem>
    <reviewItem>
      <errorID>2d36af1a-9b40-45df-984e-4fc21d37161d</errorID>
      <errorWord>)</errorWord>
      <group>L1_Format</group>
      <groupName>格式问题</groupName>
      <ability>L2_HalfPunc</ability>
      <abilityName>全半角检查</abilityName>
      <candidateList>
        <item>）</item>
      </candidateList>
      <explain>文本全半角错误。</explain>
      <paraID>3EBCA9A0</paraID>
      <start>893</start>
      <end>894</end>
      <status>unmodified</status>
      <modifiedWord/>
      <trackRevisions>false</trackRevisions>
    </reviewItem>
    <reviewItem>
      <errorID>6d390877-a63f-457f-8444-159a84e9a69c</errorID>
      <errorWord>（</errorWord>
      <group>L1_Punc</group>
      <groupName>标点问题</groupName>
      <ability>L2_Punc</ability>
      <abilityName>标点符号检查</abilityName>
      <candidateList/>
      <explain>同一形式括号套用。</explain>
      <paraID> B0AA23E</paraID>
      <start>69</start>
      <end>70</end>
      <status>unmodified</status>
      <modifiedWord/>
      <trackRevisions>false</trackRevisions>
    </reviewItem>
    <reviewItem>
      <errorID>40a31755-c724-4c9d-86fa-92a405f4fb9d</errorID>
      <errorWord>）</errorWord>
      <group>L1_Punc</group>
      <groupName>标点问题</groupName>
      <ability>L2_Punc</ability>
      <abilityName>标点符号检查</abilityName>
      <candidateList/>
      <explain>同一形式括号套用。</explain>
      <paraID> B0AA23E</paraID>
      <start>71</start>
      <end>72</end>
      <status>unmodified</status>
      <modifiedWord/>
      <trackRevisions>false</trackRevisions>
    </reviewItem>
    <reviewItem>
      <errorID>7f39eb5a-6e6c-4555-83d4-66fab570156e</errorID>
      <errorWord>"</errorWord>
      <group>L1_Format</group>
      <groupName>格式问题</groupName>
      <ability>L2_HalfPunc</ability>
      <abilityName>全半角检查</abilityName>
      <candidateList>
        <item>“</item>
      </candidateList>
      <explain>文本全半角错误。</explain>
      <paraID>3A6A829E</paraID>
      <start>80</start>
      <end>81</end>
      <status>unmodified</status>
      <modifiedWord/>
      <trackRevisions>false</trackRevisions>
    </reviewItem>
    <reviewItem>
      <errorID>303a157d-7d6f-4700-bbdd-b0624f1842cc</errorID>
      <errorWord>"</errorWord>
      <group>L1_Format</group>
      <groupName>格式问题</groupName>
      <ability>L2_HalfPunc</ability>
      <abilityName>全半角检查</abilityName>
      <candidateList>
        <item>”</item>
      </candidateList>
      <explain>文本全半角错误。</explain>
      <paraID>3A6A829E</paraID>
      <start>95</start>
      <end>96</end>
      <status>unmodified</status>
      <modifiedWord/>
      <trackRevisions>false</trackRevisions>
    </reviewItem>
    <reviewItem>
      <errorID>202accee-5d03-49df-970e-318f763b98f6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7B64489C</paraID>
      <start>0</start>
      <end>3</end>
      <status>unmodified</status>
      <modifiedWord/>
      <trackRevisions>false</trackRevisions>
    </reviewItem>
    <reviewItem>
      <errorID>21d97e4d-123c-4a5b-8ed3-3c39c7f1075e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3C9C301A</paraID>
      <start>0</start>
      <end>3</end>
      <status>unmodified</status>
      <modifiedWord/>
      <trackRevisions>false</trackRevisions>
    </reviewItem>
    <reviewItem>
      <errorID>3c96fd00-a1cd-4817-ae15-41debcd786e4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7355797</paraID>
      <start>0</start>
      <end>3</end>
      <status>unmodified</status>
      <modifiedWord/>
      <trackRevisions>false</trackRevisions>
    </reviewItem>
    <reviewItem>
      <errorID>37df31d2-a7d3-4585-9415-5144f04d24f4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293783E7</paraID>
      <start>0</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9891041-F02D-416F-B13D-CE35D5538BF3}"/>
</file>

<file path=customXml/itemProps2.xml><?xml version="1.0" encoding="utf-8"?>
<ds:datastoreItem xmlns:ds="http://schemas.openxmlformats.org/officeDocument/2006/customXml" ds:itemID="{E524867C-15C6-4116-93E1-0779AA58232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dc:creator>
  <cp:lastModifiedBy>许居磊</cp:lastModifiedBy>
  <cp:revision>3</cp:revision>
  <dcterms:created xsi:type="dcterms:W3CDTF">2026-09-01T08:46:00Z</dcterms:created>
  <dcterms:modified xsi:type="dcterms:W3CDTF">2026-09-21T09:12:09Z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B4E3C08B582D4D798A8577204776C1C1_13</vt:lpwstr>
  </property>
  <property fmtid="{D5CDD505-2E9C-101B-9397-08002B2CF9AE}" pid="4" name="KSOTemplateDocerSaveRecord">
    <vt:lpwstr>eyJoZGlkIjoiNzE2YmYwZTcyN2ZjYTAzY2Q0NjFlOTM2OTRmOGE3MDMiLCJ1c2VySWQiOiI0MzAxMTgifQ==</vt:lpwstr>
  </property>
</Properties>
</file>